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he-ai-employee-factory"/>
    <w:p>
      <w:pPr>
        <w:pStyle w:val="Heading1"/>
      </w:pPr>
      <w:r>
        <w:t xml:space="preserve">The AI Employee Factory</w:t>
      </w:r>
    </w:p>
    <w:p>
      <w:pPr>
        <w:pStyle w:val="FirstParagraph"/>
      </w:pPr>
      <w:r>
        <w:rPr>
          <w:b/>
          <w:bCs/>
        </w:rPr>
        <w:t xml:space="preserve">Status:</w:t>
      </w:r>
      <w:r>
        <w:t xml:space="preserve"> </w:t>
      </w:r>
      <w:r>
        <w:t xml:space="preserve">Developmental revision candidate; D115 baseline accepted by Lee; publication and final title not approved.</w:t>
      </w:r>
    </w:p>
    <w:p>
      <w:pPr>
        <w:pStyle w:val="BodyText"/>
      </w:pPr>
      <w:r>
        <w:rPr>
          <w:b/>
          <w:bCs/>
        </w:rPr>
        <w:t xml:space="preserve">Evidence ceiling:</w:t>
      </w:r>
      <w:r>
        <w:t xml:space="preserve"> </w:t>
      </w:r>
      <w:r>
        <w:t xml:space="preserve">Practitioner-grounded and primary-research-informed. This manuscript does not claim demonstrated enterprise-wide safety, ROI, legal sufficiency, or autonomous operations.</w:t>
      </w:r>
    </w:p>
    <w:p>
      <w:r>
        <w:pict>
          <v:rect style="width:0;height:1.5pt" o:hralign="center" o:hrstd="t" o:hr="t"/>
        </w:pict>
      </w:r>
    </w:p>
    <w:bookmarkEnd w:id="20"/>
    <w:bookmarkStart w:id="21" w:name="part-i-the-commissioning-decision"/>
    <w:p>
      <w:pPr>
        <w:pStyle w:val="Heading1"/>
      </w:pPr>
      <w:r>
        <w:t xml:space="preserve">Part I — The Commissioning Decision</w:t>
      </w:r>
    </w:p>
    <w:bookmarkEnd w:id="21"/>
    <w:bookmarkStart w:id="37" w:name="chapter-1-name-the-operating-unit"/>
    <w:p>
      <w:pPr>
        <w:pStyle w:val="Heading1"/>
      </w:pPr>
      <w:r>
        <w:t xml:space="preserve">Chapter 1 — Name the Operating Unit</w:t>
      </w:r>
    </w:p>
    <w:p>
      <w:pPr>
        <w:pStyle w:val="FirstParagraph"/>
      </w:pPr>
      <w:r>
        <w:t xml:space="preserve">A capable system completed a task. It used tools, remembered context, ran again tomorrow, and handed over a polished answer. Someone now proposes calling it an employee.</w:t>
      </w:r>
    </w:p>
    <w:p>
      <w:pPr>
        <w:pStyle w:val="BodyText"/>
      </w:pPr>
      <w:r>
        <w:t xml:space="preserve">I call my agents employees because that is how I manage them. I direct their work, set their boundaries, review their evidence, decide when they act on their own and when they must stop, and answer for their results. I do none of that with a workflow. The word describes my management posture, not the system’s nature — and if that posture matches how your organization will govern these things, the vocabulary earns its keep.</w:t>
      </w:r>
    </w:p>
    <w:p>
      <w:pPr>
        <w:pStyle w:val="BodyText"/>
      </w:pPr>
      <w:r>
        <w:t xml:space="preserve">Organizations already possess governance machinery for commissioned roles. Calling it an employee routes it into that machinery. We borrow this supervision machinery and deliberately refuse the career connotation. Real human roles are static by design all the time, and a digital worker is no different.</w:t>
      </w:r>
    </w:p>
    <w:p>
      <w:pPr>
        <w:pStyle w:val="BodyText"/>
      </w:pPr>
      <w:r>
        <w:t xml:space="preserve">To be clear upfront: this is one operator’s observed behavior. Transferring these practices beyond one person’s home directory is an untested practitioner hypothesis. I state this evidence ceiling here, prominently, so we do not have to repeat it throughout the book.</w:t>
      </w:r>
    </w:p>
    <w:p>
      <w:pPr>
        <w:pStyle w:val="BodyText"/>
      </w:pPr>
      <w:r>
        <w:t xml:space="preserve">The workforce sponsor’s first job is to name the thing being considered before deciding what to authorize, measure, or scale. If the operating unit is unnamed, the organization will substitute whatever is most visible: the model, the chat window, the orchestration framework, the schedule, or the last impressive output. Each can matter. None, alone, is the worker the organization is being asked to commission.</w:t>
      </w:r>
    </w:p>
    <w:p>
      <w:pPr>
        <w:pStyle w:val="BodyText"/>
      </w:pPr>
      <w:r>
        <w:t xml:space="preserve">This is a practical distinction, not semantic housekeeping. A model can be swapped. A runtime can be rebuilt. A schedule can be paused. A workflow can complete. A team can be rearranged. If any one of those changes means the organization has lost track of who owns an ongoing responsibility, it did not have a named operating unit. It had machinery with a flattering label.</w:t>
      </w:r>
    </w:p>
    <w:p>
      <w:pPr>
        <w:pStyle w:val="BodyText"/>
      </w:pPr>
      <w:r>
        <w:t xml:space="preserve">For this book, a digital worker is a named, model-backed operating unit whose continuing responsibility, owner, authority, evidence, lifecycle, and handoffs can be stated.</w:t>
      </w:r>
      <w:r>
        <w:t xml:space="preserve"> </w:t>
      </w:r>
      <w:r>
        <w:t xml:space="preserve">“</w:t>
      </w:r>
      <w:r>
        <w:t xml:space="preserve">Employee</w:t>
      </w:r>
      <w:r>
        <w:t xml:space="preserve">”</w:t>
      </w:r>
      <w:r>
        <w:t xml:space="preserve"> </w:t>
      </w:r>
      <w:r>
        <w:t xml:space="preserve">is an operating metaphor for continuity and responsibility, not a legal classification. It does not create a legal person, employment relationship, or independent accountable actor. The responsible people and organizations remain named.</w:t>
      </w:r>
    </w:p>
    <w:bookmarkStart w:id="22" w:name="the-markets-illusion"/>
    <w:p>
      <w:pPr>
        <w:pStyle w:val="Heading2"/>
      </w:pPr>
      <w:r>
        <w:t xml:space="preserve">The Market’s Illusion</w:t>
      </w:r>
    </w:p>
    <w:p>
      <w:pPr>
        <w:pStyle w:val="FirstParagraph"/>
      </w:pPr>
      <w:r>
        <w:t xml:space="preserve">The broader market uses</w:t>
      </w:r>
      <w:r>
        <w:t xml:space="preserve"> </w:t>
      </w:r>
      <w:r>
        <w:t xml:space="preserve">“</w:t>
      </w:r>
      <w:r>
        <w:t xml:space="preserve">AI employee</w:t>
      </w:r>
      <w:r>
        <w:t xml:space="preserve">”</w:t>
      </w:r>
      <w:r>
        <w:t xml:space="preserve"> </w:t>
      </w:r>
      <w:r>
        <w:t xml:space="preserve">to mean headcount replacement or unbridled autonomy. It sells a system that supposedly manages itself. This misleads first because it ascribes properties to the system that only a management posture can supply. Autonomy is not an innate property of software; it is a boundary granted by a supervisor. The disciplined version of an AI employee is not a fake human; it is a software system governed through a management posture, with bounded responsibility, accountable to a real human owner.</w:t>
      </w:r>
    </w:p>
    <w:p>
      <w:pPr>
        <w:pStyle w:val="BodyText"/>
      </w:pPr>
      <w:r>
        <w:t xml:space="preserve">It misleads, second, because it assumes the organization is ready to trade capability for savings before the system is proven. It is foolish to downsize human teams before you actually know you can trust the work of the AI. More importantly, framing AI as a replacement strategy treats human employees as interchangeable cogs, ignoring the considerable amount of institutional knowledge that lives inside them. A disciplined organization does not use AI employees to lose its human capital; it empowers its human employees with AI to expand the business.</w:t>
      </w:r>
    </w:p>
    <w:bookmarkEnd w:id="22"/>
    <w:bookmarkStart w:id="23" w:name="the-legal-drift-warning"/>
    <w:p>
      <w:pPr>
        <w:pStyle w:val="Heading2"/>
      </w:pPr>
      <w:r>
        <w:t xml:space="preserve">The Legal Drift Warning</w:t>
      </w:r>
    </w:p>
    <w:p>
      <w:pPr>
        <w:pStyle w:val="FirstParagraph"/>
      </w:pPr>
      <w:r>
        <w:t xml:space="preserve">There is a real risk when applying human metaphors to software. The employee metaphor can start creating liability-shaped paperwork if taken too literally. If you write formal performance reviews, route them through HR systems, or simulate personnel files for digital workers, you invite legal drift and unnecessary discoverability risks. Keep the metaphor in the operating model. Document the configuration and the responsibility, but keep simulated human resources paperwork out of your written records.</w:t>
      </w:r>
    </w:p>
    <w:bookmarkEnd w:id="23"/>
    <w:bookmarkStart w:id="24" w:name="the-expensive-ambiguity"/>
    <w:p>
      <w:pPr>
        <w:pStyle w:val="Heading2"/>
      </w:pPr>
      <w:r>
        <w:t xml:space="preserve">The expensive ambiguity</w:t>
      </w:r>
    </w:p>
    <w:p>
      <w:pPr>
        <w:pStyle w:val="FirstParagraph"/>
      </w:pPr>
      <w:r>
        <w:t xml:space="preserve">Organizations have lived with implementation ambiguity before. A customer-support function can outlive a ticketing system. A revenue operation can change its CRM, its playbooks, its reporting structure, and its staffing mix without ceasing to be a revenue operation. A human analyst can receive a new laptop, move to different software, change reporting tools, or work from another office and still remain the same employee because identity and responsibility live above the implementation. The changes may be consequential, but they do not erase the organizational responsibility.</w:t>
      </w:r>
    </w:p>
    <w:p>
      <w:pPr>
        <w:pStyle w:val="BodyText"/>
      </w:pPr>
      <w:r>
        <w:t xml:space="preserve">AI work makes the opposite mistake tempting because the tools are so visible. A team sees a model answer a difficult question and calls the model the employee. A scheduled workflow sends a weekly report and calls the schedule the employee. A framework dispatches three specialized prompts and calls the group an employee. A background process runs continuously and calls itself an employee because it never sleeps.</w:t>
      </w:r>
    </w:p>
    <w:p>
      <w:pPr>
        <w:pStyle w:val="BodyText"/>
      </w:pPr>
      <w:r>
        <w:t xml:space="preserve">Those descriptions identify useful parts of a system. They do not name the operating unit.</w:t>
      </w:r>
    </w:p>
    <w:p>
      <w:pPr>
        <w:pStyle w:val="BodyText"/>
      </w:pPr>
      <w:r>
        <w:t xml:space="preserve">The distinction becomes easier when the questions are separated.</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If you are asking…</w:t>
            </w:r>
          </w:p>
        </w:tc>
        <w:tc>
          <w:tcPr/>
          <w:p>
            <w:pPr>
              <w:pStyle w:val="Compact"/>
              <w:jc w:val="left"/>
            </w:pPr>
            <w:r>
              <w:t xml:space="preserve">You are probably naming…</w:t>
            </w:r>
          </w:p>
        </w:tc>
        <w:tc>
          <w:tcPr/>
          <w:p>
            <w:pPr>
              <w:pStyle w:val="Compact"/>
              <w:jc w:val="left"/>
            </w:pPr>
            <w:r>
              <w:t xml:space="preserve">It is not enough to name…</w:t>
            </w:r>
          </w:p>
        </w:tc>
      </w:tr>
      <w:tr>
        <w:tc>
          <w:tcPr/>
          <w:p>
            <w:pPr>
              <w:pStyle w:val="Compact"/>
              <w:jc w:val="left"/>
            </w:pPr>
            <w:r>
              <w:t xml:space="preserve">Which system is this?</w:t>
            </w:r>
          </w:p>
        </w:tc>
        <w:tc>
          <w:tcPr/>
          <w:p>
            <w:pPr>
              <w:pStyle w:val="Compact"/>
              <w:jc w:val="left"/>
            </w:pPr>
            <w:r>
              <w:t xml:space="preserve">Identity and charter</w:t>
            </w:r>
          </w:p>
        </w:tc>
        <w:tc>
          <w:tcPr/>
          <w:p>
            <w:pPr>
              <w:pStyle w:val="Compact"/>
              <w:jc w:val="left"/>
            </w:pPr>
            <w:r>
              <w:t xml:space="preserve">The model or tool</w:t>
            </w:r>
          </w:p>
        </w:tc>
      </w:tr>
      <w:tr>
        <w:tc>
          <w:tcPr/>
          <w:p>
            <w:pPr>
              <w:pStyle w:val="Compact"/>
              <w:jc w:val="left"/>
            </w:pPr>
            <w:r>
              <w:t xml:space="preserve">What is it responsible for over time?</w:t>
            </w:r>
          </w:p>
        </w:tc>
        <w:tc>
          <w:tcPr/>
          <w:p>
            <w:pPr>
              <w:pStyle w:val="Compact"/>
              <w:jc w:val="left"/>
            </w:pPr>
            <w:r>
              <w:t xml:space="preserve">Ongoing responsibility</w:t>
            </w:r>
          </w:p>
        </w:tc>
        <w:tc>
          <w:tcPr/>
          <w:p>
            <w:pPr>
              <w:pStyle w:val="Compact"/>
              <w:jc w:val="left"/>
            </w:pPr>
            <w:r>
              <w:t xml:space="preserve">A single task or output</w:t>
            </w:r>
          </w:p>
        </w:tc>
      </w:tr>
      <w:tr>
        <w:tc>
          <w:tcPr/>
          <w:p>
            <w:pPr>
              <w:pStyle w:val="Compact"/>
              <w:jc w:val="left"/>
            </w:pPr>
            <w:r>
              <w:t xml:space="preserve">How does it perform work today?</w:t>
            </w:r>
          </w:p>
        </w:tc>
        <w:tc>
          <w:tcPr/>
          <w:p>
            <w:pPr>
              <w:pStyle w:val="Compact"/>
              <w:jc w:val="left"/>
            </w:pPr>
            <w:r>
              <w:t xml:space="preserve">Harness and runtime</w:t>
            </w:r>
          </w:p>
        </w:tc>
        <w:tc>
          <w:tcPr/>
          <w:p>
            <w:pPr>
              <w:pStyle w:val="Compact"/>
              <w:jc w:val="left"/>
            </w:pPr>
            <w:r>
              <w:t xml:space="preserve">The worker itself</w:t>
            </w:r>
          </w:p>
        </w:tc>
      </w:tr>
      <w:tr>
        <w:tc>
          <w:tcPr/>
          <w:p>
            <w:pPr>
              <w:pStyle w:val="Compact"/>
              <w:jc w:val="left"/>
            </w:pPr>
            <w:r>
              <w:t xml:space="preserve">When may it run, and with what supervision?</w:t>
            </w:r>
          </w:p>
        </w:tc>
        <w:tc>
          <w:tcPr/>
          <w:p>
            <w:pPr>
              <w:pStyle w:val="Compact"/>
              <w:jc w:val="left"/>
            </w:pPr>
            <w:r>
              <w:t xml:space="preserve">Execution policy and schedule</w:t>
            </w:r>
          </w:p>
        </w:tc>
        <w:tc>
          <w:tcPr/>
          <w:p>
            <w:pPr>
              <w:pStyle w:val="Compact"/>
              <w:jc w:val="left"/>
            </w:pPr>
            <w:r>
              <w:t xml:space="preserve">Its organizational identity</w:t>
            </w:r>
          </w:p>
        </w:tc>
      </w:tr>
      <w:tr>
        <w:tc>
          <w:tcPr/>
          <w:p>
            <w:pPr>
              <w:pStyle w:val="Compact"/>
              <w:jc w:val="left"/>
            </w:pPr>
            <w:r>
              <w:t xml:space="preserve">What condition is it in right now?</w:t>
            </w:r>
          </w:p>
        </w:tc>
        <w:tc>
          <w:tcPr/>
          <w:p>
            <w:pPr>
              <w:pStyle w:val="Compact"/>
              <w:jc w:val="left"/>
            </w:pPr>
            <w:r>
              <w:t xml:space="preserve">Runtime state</w:t>
            </w:r>
          </w:p>
        </w:tc>
        <w:tc>
          <w:tcPr/>
          <w:p>
            <w:pPr>
              <w:pStyle w:val="Compact"/>
              <w:jc w:val="left"/>
            </w:pPr>
            <w:r>
              <w:t xml:space="preserve">Its lifecycle or value</w:t>
            </w:r>
          </w:p>
        </w:tc>
      </w:tr>
      <w:tr>
        <w:tc>
          <w:tcPr/>
          <w:p>
            <w:pPr>
              <w:pStyle w:val="Compact"/>
              <w:jc w:val="left"/>
            </w:pPr>
            <w:r>
              <w:t xml:space="preserve">Who is answerable for the result and changes?</w:t>
            </w:r>
          </w:p>
        </w:tc>
        <w:tc>
          <w:tcPr/>
          <w:p>
            <w:pPr>
              <w:pStyle w:val="Compact"/>
              <w:jc w:val="left"/>
            </w:pPr>
            <w:r>
              <w:t xml:space="preserve">Human or organizational ownership</w:t>
            </w:r>
          </w:p>
        </w:tc>
        <w:tc>
          <w:tcPr/>
          <w:p>
            <w:pPr>
              <w:pStyle w:val="Compact"/>
              <w:jc w:val="left"/>
            </w:pPr>
            <w:r>
              <w:t xml:space="preserve">The digital worker alone</w:t>
            </w:r>
          </w:p>
        </w:tc>
      </w:tr>
    </w:tbl>
    <w:p>
      <w:pPr>
        <w:pStyle w:val="BodyText"/>
      </w:pPr>
      <w:r>
        <w:t xml:space="preserve">These distinctions should not be collapsed into one status label.</w:t>
      </w:r>
      <w:r>
        <w:t xml:space="preserve"> </w:t>
      </w:r>
      <w:r>
        <w:t xml:space="preserve">“</w:t>
      </w:r>
      <w:r>
        <w:t xml:space="preserve">Active,</w:t>
      </w:r>
      <w:r>
        <w:t xml:space="preserve">”</w:t>
      </w:r>
      <w:r>
        <w:t xml:space="preserve"> </w:t>
      </w:r>
      <w:r>
        <w:t xml:space="preserve">for example, can mean that a role is commissioned, a runtime is healthy, a schedule is enabled, a workflow is currently running, or an executive still wants the responsibility performed. Those are different facts. One green light should not conceal four unanswered questions.</w:t>
      </w:r>
    </w:p>
    <w:p>
      <w:pPr>
        <w:pStyle w:val="BodyText"/>
      </w:pPr>
      <w:r>
        <w:t xml:space="preserve">The first mistake is usually understandable. A sponsor is under pressure to show visible progress, so the implementation becomes the unit of management. The second mistake is more costly: the organization starts changing the implementation as though it were changing a role, or preserving an implementation as though it were preserving a role.</w:t>
      </w:r>
    </w:p>
    <w:p>
      <w:pPr>
        <w:pStyle w:val="BodyText"/>
      </w:pPr>
      <w:r>
        <w:t xml:space="preserve">A named digital worker gives the sponsor somewhere stable to put the decision.</w:t>
      </w:r>
    </w:p>
    <w:bookmarkEnd w:id="24"/>
    <w:bookmarkStart w:id="25" w:name="identity-is-not-the-harness"/>
    <w:p>
      <w:pPr>
        <w:pStyle w:val="Heading2"/>
      </w:pPr>
      <w:r>
        <w:t xml:space="preserve">Identity is not the harness</w:t>
      </w:r>
    </w:p>
    <w:p>
      <w:pPr>
        <w:pStyle w:val="FirstParagraph"/>
      </w:pPr>
      <w:r>
        <w:t xml:space="preserve">A harness is the environment that helps the system perform work: a coding environment, agent runtime, workflow engine, orchestration layer, or interactive session. It may supply tools, memory patterns, guardrails, routing, or a way to invoke other systems. It is important. It is also replaceable.</w:t>
      </w:r>
    </w:p>
    <w:p>
      <w:pPr>
        <w:pStyle w:val="BodyText"/>
      </w:pPr>
      <w:r>
        <w:t xml:space="preserve">Revenue Director retained its identity while work moved from Antigravity to OMP under Chief of Staff supervision. The role kept its durable management direction, authority boundaries, context, work products, and canonical workspace. It could also delegate a bounded discovery assignment to Market Demand Scout and receive evidence back for qualification.</w:t>
      </w:r>
    </w:p>
    <w:p>
      <w:pPr>
        <w:pStyle w:val="BodyText"/>
      </w:pPr>
      <w:r>
        <w:t xml:space="preserve">The move was intelligible because the worker had an identity apart from the harness. The organization could ask whether the role, responsibility, authority, and evidence contract remained intact. It did not have to pretend that Antigravity and OMP were the same system.</w:t>
      </w:r>
    </w:p>
    <w:p>
      <w:pPr>
        <w:pStyle w:val="BodyText"/>
      </w:pPr>
      <w:r>
        <w:t xml:space="preserve">A model change belongs in the same category. Models differ in capability, cost, latency, reliability, context handling, and operational behavior. Those differences may require a review or change in execution policy. They do not automatically create a new digital worker.</w:t>
      </w:r>
    </w:p>
    <w:p>
      <w:pPr>
        <w:pStyle w:val="BodyText"/>
      </w:pPr>
      <w:r>
        <w:t xml:space="preserve">Suppose an organization commissions a worker to maintain an evidence-backed view of a bounded commercial portfolio. It may use one model for research, another for structured extraction, and a third for review. Next quarter, it may replace all three. The sponsor should be able to say what remained stable and what must be revalidated:</w:t>
      </w:r>
    </w:p>
    <w:p>
      <w:pPr>
        <w:pStyle w:val="Compact"/>
        <w:numPr>
          <w:ilvl w:val="0"/>
          <w:numId w:val="1001"/>
        </w:numPr>
      </w:pPr>
      <w:r>
        <w:t xml:space="preserve">The worker’s identity and responsibility remained the same.</w:t>
      </w:r>
    </w:p>
    <w:p>
      <w:pPr>
        <w:pStyle w:val="Compact"/>
        <w:numPr>
          <w:ilvl w:val="0"/>
          <w:numId w:val="1001"/>
        </w:numPr>
      </w:pPr>
      <w:r>
        <w:t xml:space="preserve">Its owner and authority boundary remained the same.</w:t>
      </w:r>
    </w:p>
    <w:p>
      <w:pPr>
        <w:pStyle w:val="Compact"/>
        <w:numPr>
          <w:ilvl w:val="0"/>
          <w:numId w:val="1001"/>
        </w:numPr>
      </w:pPr>
      <w:r>
        <w:t xml:space="preserve">Its execution bindings changed.</w:t>
      </w:r>
    </w:p>
    <w:p>
      <w:pPr>
        <w:pStyle w:val="Compact"/>
        <w:numPr>
          <w:ilvl w:val="0"/>
          <w:numId w:val="1001"/>
        </w:numPr>
      </w:pPr>
      <w:r>
        <w:t xml:space="preserve">Its evidence and evaluation requirements may need to be rerun.</w:t>
      </w:r>
    </w:p>
    <w:p>
      <w:pPr>
        <w:pStyle w:val="Compact"/>
        <w:numPr>
          <w:ilvl w:val="0"/>
          <w:numId w:val="1001"/>
        </w:numPr>
      </w:pPr>
      <w:r>
        <w:t xml:space="preserve">Its current runtime condition may have changed during the migration.</w:t>
      </w:r>
    </w:p>
    <w:p>
      <w:pPr>
        <w:pStyle w:val="FirstParagraph"/>
      </w:pPr>
      <w:r>
        <w:t xml:space="preserve">A new harness can widen a tool surface, alter memory behavior, change costs, or make prior evidence insufficient. The sponsor therefore needs the migration to be legible: what stayed stable, what changed, and what evidence must be rerun. The sponsor should not need a new job title every time an engineering team changes the plumbing.</w:t>
      </w:r>
    </w:p>
    <w:p>
      <w:pPr>
        <w:pStyle w:val="BodyText"/>
      </w:pPr>
      <w:r>
        <w:t xml:space="preserve">A role that only exists while one prompt, one model, or one framework is present is not necessarily invalid. It is simply more fragile than its label may suggest. Name that fragility. Do not hide it by calling the implementation an employee.</w:t>
      </w:r>
    </w:p>
    <w:bookmarkEnd w:id="25"/>
    <w:bookmarkStart w:id="26" w:name="identity-is-not-a-schedule"/>
    <w:p>
      <w:pPr>
        <w:pStyle w:val="Heading2"/>
      </w:pPr>
      <w:r>
        <w:t xml:space="preserve">Identity is not a schedule</w:t>
      </w:r>
    </w:p>
    <w:p>
      <w:pPr>
        <w:pStyle w:val="FirstParagraph"/>
      </w:pPr>
      <w:r>
        <w:t xml:space="preserve">A schedule answers a narrower question: when should a system be permitted or expected to execute? It can be hourly, daily, event-driven, manually invoked, supervised, or deliberately disabled. It is an execution policy, not an identity.</w:t>
      </w:r>
    </w:p>
    <w:p>
      <w:pPr>
        <w:pStyle w:val="BodyText"/>
      </w:pPr>
      <w:r>
        <w:t xml:space="preserve">This distinction matters because a schedule is easy to see and easy to count. A fleet dashboard can tell you how many jobs ran last night. It cannot, by that fact alone, tell you how many operating responsibilities the organization has commissioned.</w:t>
      </w:r>
    </w:p>
    <w:p>
      <w:pPr>
        <w:pStyle w:val="BodyText"/>
      </w:pPr>
      <w:r>
        <w:t xml:space="preserve">A daily daemon may have no continuing responsibility that anyone has actually authorized. It may merely repeat a useful task. Conversely, a worker may have a continuing responsibility and no autonomous schedule at all. It may be interactive by design: called on by a human owner, used for bounded supervised work, and expected to preserve evidence and continuity between interactions. Neither condition is inherently more</w:t>
      </w:r>
      <w:r>
        <w:t xml:space="preserve"> </w:t>
      </w:r>
      <w:r>
        <w:t xml:space="preserve">“</w:t>
      </w:r>
      <w:r>
        <w:t xml:space="preserve">employee-like.</w:t>
      </w:r>
      <w:r>
        <w:t xml:space="preserve">”</w:t>
      </w:r>
    </w:p>
    <w:p>
      <w:pPr>
        <w:pStyle w:val="BodyText"/>
      </w:pPr>
      <w:r>
        <w:t xml:space="preserve">The Chief of Staff was deliberately not made into an Auto-Orch mission merely to satisfy an earlier registry assumption that every employee needed a mission name. The system was repaired so a mission-less, interactive worker could be registered through a real schema-valid record. Forcing a false schedule or fake mission merely to make a registry happy manufactures evidence instead of improving governance.</w:t>
      </w:r>
    </w:p>
    <w:p>
      <w:pPr>
        <w:pStyle w:val="BodyText"/>
      </w:pPr>
      <w:r>
        <w:t xml:space="preserve">The trap is common because automation feels like proof of independence. A scheduled job appears to have agency because it continues while humans are elsewhere. But a clock is not an owner. A daemon is not a charter. An unattended run may be useful, risky, or both; those are later judgments. Here, the simpler rule is enough:</w:t>
      </w:r>
    </w:p>
    <w:p>
      <w:pPr>
        <w:pStyle w:val="BlockText"/>
      </w:pPr>
      <w:r>
        <w:t xml:space="preserve">A schedule describes how work is triggered. It does not define who the worker is.</w:t>
      </w:r>
    </w:p>
    <w:p>
      <w:pPr>
        <w:pStyle w:val="FirstParagraph"/>
      </w:pPr>
      <w:r>
        <w:t xml:space="preserve">This protects the sponsor in both directions. It keeps a recurring task from acquiring a grander status than it has earned. It also keeps a legitimate interactive worker from becoming invisible because it does not run at 2:00 a.m.</w:t>
      </w:r>
    </w:p>
    <w:bookmarkEnd w:id="26"/>
    <w:bookmarkStart w:id="27" w:name="identity-is-not-a-task"/>
    <w:p>
      <w:pPr>
        <w:pStyle w:val="Heading2"/>
      </w:pPr>
      <w:r>
        <w:t xml:space="preserve">Identity is not a task</w:t>
      </w:r>
    </w:p>
    <w:p>
      <w:pPr>
        <w:pStyle w:val="FirstParagraph"/>
      </w:pPr>
      <w:r>
        <w:t xml:space="preserve">A task has a beginning and an expected completion condition.</w:t>
      </w:r>
      <w:r>
        <w:t xml:space="preserve"> </w:t>
      </w:r>
      <w:r>
        <w:t xml:space="preserve">“</w:t>
      </w:r>
      <w:r>
        <w:t xml:space="preserve">Extract the clauses from these contracts.</w:t>
      </w:r>
      <w:r>
        <w:t xml:space="preserve">”</w:t>
      </w:r>
      <w:r>
        <w:t xml:space="preserve"> </w:t>
      </w:r>
      <w:r>
        <w:t xml:space="preserve">“</w:t>
      </w:r>
      <w:r>
        <w:t xml:space="preserve">Prepare a briefing for this meeting.</w:t>
      </w:r>
      <w:r>
        <w:t xml:space="preserve">”</w:t>
      </w:r>
      <w:r>
        <w:t xml:space="preserve"> </w:t>
      </w:r>
      <w:r>
        <w:t xml:space="preserve">“</w:t>
      </w:r>
      <w:r>
        <w:t xml:space="preserve">Investigate these five accounts.</w:t>
      </w:r>
      <w:r>
        <w:t xml:space="preserve">”</w:t>
      </w:r>
      <w:r>
        <w:t xml:space="preserve"> </w:t>
      </w:r>
      <w:r>
        <w:t xml:space="preserve">A task can be hard, valuable, and well executed. It still does not necessarily establish ongoing ownership.</w:t>
      </w:r>
    </w:p>
    <w:p>
      <w:pPr>
        <w:pStyle w:val="BodyText"/>
      </w:pPr>
      <w:r>
        <w:t xml:space="preserve">A responsibility is different. It persists through changing inputs, exceptions, handoffs, review cycles, and decisions. It gives the organization a reason to ask not only whether work was completed, but whether continuity was maintained.</w:t>
      </w:r>
    </w:p>
    <w:p>
      <w:pPr>
        <w:pStyle w:val="BodyText"/>
      </w:pPr>
      <w:r>
        <w:t xml:space="preserve">Consider the difference between these two statements:</w:t>
      </w:r>
    </w:p>
    <w:p>
      <w:pPr>
        <w:pStyle w:val="BlockText"/>
      </w:pPr>
      <w:r>
        <w:t xml:space="preserve">The system produced a market-research memo.</w:t>
      </w:r>
    </w:p>
    <w:p>
      <w:pPr>
        <w:pStyle w:val="BlockText"/>
      </w:pPr>
      <w:r>
        <w:t xml:space="preserve">Revenue Director is responsible for maintaining a bounded commercial view, directing discovery work where appropriate, and handing evidence to its human owner for decisions.</w:t>
      </w:r>
    </w:p>
    <w:p>
      <w:pPr>
        <w:pStyle w:val="FirstParagraph"/>
      </w:pPr>
      <w:r>
        <w:t xml:space="preserve">The first statement may be evidence of capability. The second names a continuing operating responsibility. It creates questions about authority, evidence, handoffs, evaluation, and stop conditions. Those questions are not bureaucracy added after success. They are what make a commission intelligible.</w:t>
      </w:r>
    </w:p>
    <w:p>
      <w:pPr>
        <w:pStyle w:val="BodyText"/>
      </w:pPr>
      <w:r>
        <w:t xml:space="preserve">This chapter does not yet decide which responsibilities are suitable for a digital worker. That is the next chapter’s work. It does establish the smallest object the sponsor can evaluate: one named worker paired with one bounded ongoing responsibility.</w:t>
      </w:r>
    </w:p>
    <w:p>
      <w:pPr>
        <w:pStyle w:val="BodyText"/>
      </w:pPr>
      <w:r>
        <w:t xml:space="preserve">If that pairing cannot be stated plainly, the proposal may still be a useful tool, workflow, or pilot. It is not ready to be treated as an operating unit.</w:t>
      </w:r>
    </w:p>
    <w:bookmarkEnd w:id="27"/>
    <w:bookmarkStart w:id="28" w:name="identity-is-not-a-team"/>
    <w:p>
      <w:pPr>
        <w:pStyle w:val="Heading2"/>
      </w:pPr>
      <w:r>
        <w:t xml:space="preserve">Identity is not a team</w:t>
      </w:r>
    </w:p>
    <w:p>
      <w:pPr>
        <w:pStyle w:val="FirstParagraph"/>
      </w:pPr>
      <w:r>
        <w:t xml:space="preserve">A team is an arrangement of roles. It may contain people, digital workers, models, tools, workflows, or all of them. A team can be stable, but it does not erase the identities within it.</w:t>
      </w:r>
    </w:p>
    <w:p>
      <w:pPr>
        <w:pStyle w:val="BodyText"/>
      </w:pPr>
      <w:r>
        <w:t xml:space="preserve">This matters because a multi-agent demonstration can look organizational before it is organizational. One system plans, another researches, another writes, and another reviews. The choreography may be impressive. But a sponsor still needs to know which named worker owns the continuing responsibility, who can alter the arrangement, and who receives a failed handoff.</w:t>
      </w:r>
    </w:p>
    <w:p>
      <w:pPr>
        <w:pStyle w:val="BodyText"/>
      </w:pPr>
      <w:r>
        <w:t xml:space="preserve">Calling the whole group</w:t>
      </w:r>
      <w:r>
        <w:t xml:space="preserve"> </w:t>
      </w:r>
      <w:r>
        <w:t xml:space="preserve">“</w:t>
      </w:r>
      <w:r>
        <w:t xml:space="preserve">the employee</w:t>
      </w:r>
      <w:r>
        <w:t xml:space="preserve">”</w:t>
      </w:r>
      <w:r>
        <w:t xml:space="preserve"> </w:t>
      </w:r>
      <w:r>
        <w:t xml:space="preserve">is sometimes correct, but it should be a deliberate organizational decision, not a shortcut. If the group has one charter, one owner, one responsibility, one authority boundary, and one evidence record, treating it as one worker may be coherent. If the individual roles have distinct responsibilities, authority, handoffs, or lifecycle decisions, the organization has more than one operating unit even if the implementation is launched together.</w:t>
      </w:r>
    </w:p>
    <w:p>
      <w:pPr>
        <w:pStyle w:val="BodyText"/>
      </w:pPr>
      <w:r>
        <w:t xml:space="preserve">The implementation may contain a team, but the sponsor still needs to know which named unit carries the continuing responsibility, who can alter the arrangement, and who receives a failed handoff. Agent-team construction is an implementation subject with its own methods; this book keeps the management question in front: what is the responsibility, and which named unit is being asked to carry it?</w:t>
      </w:r>
    </w:p>
    <w:p>
      <w:pPr>
        <w:pStyle w:val="BodyText"/>
      </w:pPr>
      <w:r>
        <w:t xml:space="preserve">A team can be a delivery mechanism. It is not a substitute for an accountable operating record.</w:t>
      </w:r>
    </w:p>
    <w:bookmarkEnd w:id="28"/>
    <w:bookmarkStart w:id="29" w:name="Xe4106e9f944d29733de7a3f6843cc74964fa635"/>
    <w:p>
      <w:pPr>
        <w:pStyle w:val="Heading2"/>
      </w:pPr>
      <w:r>
        <w:t xml:space="preserve">A role can be real before its implementation is elegant</w:t>
      </w:r>
    </w:p>
    <w:p>
      <w:pPr>
        <w:pStyle w:val="FirstParagraph"/>
      </w:pPr>
      <w:r>
        <w:t xml:space="preserve">The Chief of Staff and Employee Zero were treated as two separate employees because they had different responsibilities and accountability surfaces. Chief of Staff was the coordinator at my side: coordination, decision support, delegation, and supervision. Employee Zero was the resident operator associated with a different bounded role and source-owner relationship.</w:t>
      </w:r>
    </w:p>
    <w:p>
      <w:pPr>
        <w:pStyle w:val="BodyText"/>
      </w:pPr>
      <w:r>
        <w:t xml:space="preserve">The practical test was not whether the same code, tools, or data could be reused. It was closer to the test a manager would use for human roles: would these be one hire or two hires? The answer was two. Reusing implementation would not make their responsibilities the same.</w:t>
      </w:r>
    </w:p>
    <w:p>
      <w:pPr>
        <w:pStyle w:val="BodyText"/>
      </w:pPr>
      <w:r>
        <w:t xml:space="preserve">That separation held even where the registration system was incomplete. Chief of Staff initially had a manifesto and roster entry but no schema-valid record because the registry assumed every employee was an Auto-Orch mission. The later repair added a generic interactive registration mode. The record could name an interactive reference instead of fabricating a mission reference.</w:t>
      </w:r>
    </w:p>
    <w:p>
      <w:pPr>
        <w:pStyle w:val="BodyText"/>
      </w:pPr>
      <w:r>
        <w:t xml:space="preserve">There is a useful discipline inside this unglamorous repair. We did not solve a category error by pretending the worker was something it was not. The registry was changed so the representation matched the operating reality.</w:t>
      </w:r>
    </w:p>
    <w:p>
      <w:pPr>
        <w:pStyle w:val="BodyText"/>
      </w:pPr>
      <w:r>
        <w:t xml:space="preserve">The case also contains a limit worth keeping. Chief of Staff’s identities across systems still relied partly on naming convention rather than a fully shared foreign key. The role was more legible after registration, not magically complete. A good operating model does not convert known gaps into declarations of success. It makes the gap visible enough to assign, repair, or accept deliberately.</w:t>
      </w:r>
    </w:p>
    <w:p>
      <w:pPr>
        <w:pStyle w:val="BodyText"/>
      </w:pPr>
      <w:r>
        <w:t xml:space="preserve">That is the standard the sponsor should want from every proposed digital worker. Not perfection. A clear account of what is known, what is bound, and what still rests on convention.</w:t>
      </w:r>
    </w:p>
    <w:bookmarkEnd w:id="29"/>
    <w:bookmarkStart w:id="30" w:name="the-five-separations"/>
    <w:p>
      <w:pPr>
        <w:pStyle w:val="Heading2"/>
      </w:pPr>
      <w:r>
        <w:t xml:space="preserve">The five separations</w:t>
      </w:r>
    </w:p>
    <w:p>
      <w:pPr>
        <w:pStyle w:val="FirstParagraph"/>
      </w:pPr>
      <w:r>
        <w:t xml:space="preserve">At this point, it is useful to keep five terms in their lanes.</w:t>
      </w:r>
    </w:p>
    <w:p>
      <w:pPr>
        <w:pStyle w:val="BodyText"/>
      </w:pPr>
      <w:r>
        <w:rPr>
          <w:b/>
          <w:bCs/>
        </w:rPr>
        <w:t xml:space="preserve">Identity</w:t>
      </w:r>
      <w:r>
        <w:t xml:space="preserve"> </w:t>
      </w:r>
      <w:r>
        <w:t xml:space="preserve">answers: Which named operating unit is this? It includes the durable role, charter, responsibility, owner relationships, and the evidence needed to recognize the unit over time.</w:t>
      </w:r>
    </w:p>
    <w:p>
      <w:pPr>
        <w:pStyle w:val="BodyText"/>
      </w:pPr>
      <w:r>
        <w:rPr>
          <w:b/>
          <w:bCs/>
        </w:rPr>
        <w:t xml:space="preserve">Harness</w:t>
      </w:r>
      <w:r>
        <w:t xml:space="preserve"> </w:t>
      </w:r>
      <w:r>
        <w:t xml:space="preserve">answers: Where and how does it execute today? It may be a framework, interactive session, orchestration environment, or native tool environment.</w:t>
      </w:r>
    </w:p>
    <w:p>
      <w:pPr>
        <w:pStyle w:val="BodyText"/>
      </w:pPr>
      <w:r>
        <w:rPr>
          <w:b/>
          <w:bCs/>
        </w:rPr>
        <w:t xml:space="preserve">Execution policy</w:t>
      </w:r>
      <w:r>
        <w:t xml:space="preserve"> </w:t>
      </w:r>
      <w:r>
        <w:t xml:space="preserve">answers: Under what conditions may it act? This includes supervision, triggering, scheduling, routing, and constraints on execution. It may change more often than identity.</w:t>
      </w:r>
    </w:p>
    <w:p>
      <w:pPr>
        <w:pStyle w:val="BodyText"/>
      </w:pPr>
      <w:r>
        <w:rPr>
          <w:b/>
          <w:bCs/>
        </w:rPr>
        <w:t xml:space="preserve">Lifecycle</w:t>
      </w:r>
      <w:r>
        <w:t xml:space="preserve"> </w:t>
      </w:r>
      <w:r>
        <w:t xml:space="preserve">answers: What is the organizational disposition of the worker? A role can be proposed, commissioned, paused, changed, superseded, or retired. That is not the same as whether a process is running right now.</w:t>
      </w:r>
    </w:p>
    <w:p>
      <w:pPr>
        <w:pStyle w:val="BodyText"/>
      </w:pPr>
      <w:r>
        <w:rPr>
          <w:b/>
          <w:bCs/>
        </w:rPr>
        <w:t xml:space="preserve">Runtime state</w:t>
      </w:r>
      <w:r>
        <w:t xml:space="preserve"> </w:t>
      </w:r>
      <w:r>
        <w:t xml:space="preserve">answers: What is happening in the system at this moment? A worker can be commissioned and healthy, commissioned and blocked, paused with preserved records, or retired while its evidence remains available for inspection.</w:t>
      </w:r>
    </w:p>
    <w:p>
      <w:pPr>
        <w:pStyle w:val="BodyText"/>
      </w:pPr>
      <w:r>
        <w:t xml:space="preserve">The terms overlap in ordinary conversation. They should not overlap in the record. If a sponsor cannot tell whether a proposal is asking for a new identity, a new implementation binding, an execution-policy change, or a runtime repair, the proposal is not ready for approval.</w:t>
      </w:r>
    </w:p>
    <w:p>
      <w:pPr>
        <w:pStyle w:val="BodyText"/>
      </w:pPr>
      <w:r>
        <w:t xml:space="preserve">This is also why a single maturity ladder is a poor substitute for an operating record. A worker may be mature in one narrow execution capability and immature in authority, evidence, lifecycle design, or handoff discipline. A higher rung cannot repair a missing owner. A lower rung does not tell the sponsor whether the responsibility should exist.</w:t>
      </w:r>
    </w:p>
    <w:p>
      <w:pPr>
        <w:pStyle w:val="BodyText"/>
      </w:pPr>
      <w:r>
        <w:t xml:space="preserve">The record earns its complexity by preventing omission. It gives the sponsor a way to see which question is answered, which is unresolved, and which requires a different owner or decision.</w:t>
      </w:r>
    </w:p>
    <w:bookmarkEnd w:id="30"/>
    <w:bookmarkStart w:id="31" w:name="vocabulary-is-not-a-standard"/>
    <w:p>
      <w:pPr>
        <w:pStyle w:val="Heading2"/>
      </w:pPr>
      <w:r>
        <w:t xml:space="preserve">Vocabulary is not a standard</w:t>
      </w:r>
    </w:p>
    <w:p>
      <w:pPr>
        <w:pStyle w:val="FirstParagraph"/>
      </w:pPr>
      <w:r>
        <w:t xml:space="preserve">The market already has vocabulary for AI-associated work. That vocabulary can be useful if its limits are kept in view.</w:t>
      </w:r>
    </w:p>
    <w:p>
      <w:pPr>
        <w:pStyle w:val="BodyText"/>
      </w:pPr>
      <w:r>
        <w:t xml:space="preserve">Deloitte uses</w:t>
      </w:r>
      <w:r>
        <w:t xml:space="preserve"> </w:t>
      </w:r>
      <w:r>
        <w:t xml:space="preserve">“</w:t>
      </w:r>
      <w:r>
        <w:t xml:space="preserve">Digital FTE</w:t>
      </w:r>
      <w:r>
        <w:t xml:space="preserve">”</w:t>
      </w:r>
      <w:r>
        <w:t xml:space="preserve"> </w:t>
      </w:r>
      <w:r>
        <w:t xml:space="preserve">as a capacity metaphor for repeatable-process automation equivalent to work that would otherwise require a full-time human. That is a legitimate description of Deloitte’s usage. It does not make Digital FTE a legal status, an accounting category, a stable organizational identity, or evidence that a system has earned ongoing responsibility.</w:t>
      </w:r>
    </w:p>
    <w:p>
      <w:pPr>
        <w:pStyle w:val="BodyText"/>
      </w:pPr>
      <w:r>
        <w:t xml:space="preserve">Gopal Yuvaraj’s Workforce Unit Abstraction proposes a conceptual seven-attribute schema for representing human and AI labor in planning, scheduling, and governance. The proposal is relevant because it recognizes that hybrid work needs more than a raw model label. It is still a proposal from one design-science paper, not a settled enterprise standard. Its unsubstantiated numerical claims do not need to be carried into this book to make the naming problem real.</w:t>
      </w:r>
    </w:p>
    <w:p>
      <w:pPr>
        <w:pStyle w:val="BodyText"/>
      </w:pPr>
      <w:r>
        <w:t xml:space="preserve">Use such labels as pointers, not permissions. They can help a sponsor notice that AI work has workforce implications. They cannot answer the governing question on the sponsor’s behalf.</w:t>
      </w:r>
    </w:p>
    <w:p>
      <w:pPr>
        <w:pStyle w:val="BodyText"/>
      </w:pPr>
      <w:r>
        <w:t xml:space="preserve">The terminology</w:t>
      </w:r>
      <w:r>
        <w:t xml:space="preserve"> </w:t>
      </w:r>
      <w:r>
        <w:t xml:space="preserve">“</w:t>
      </w:r>
      <w:r>
        <w:t xml:space="preserve">AI employee</w:t>
      </w:r>
      <w:r>
        <w:t xml:space="preserve">”</w:t>
      </w:r>
      <w:r>
        <w:t xml:space="preserve"> </w:t>
      </w:r>
      <w:r>
        <w:t xml:space="preserve">deserves the same discipline. It is useful when the organizational framing is the point: continuity, identity, authority, handoffs, and a named human or organizational owner. It becomes misleading when it implies personhood, independent accountability, or a one-to-one equivalence with a human employee. The label must serve the decision, not decorate the technology.</w:t>
      </w:r>
    </w:p>
    <w:bookmarkEnd w:id="31"/>
    <w:bookmarkStart w:id="32" w:name="a-naming-test-before-the-commission"/>
    <w:p>
      <w:pPr>
        <w:pStyle w:val="Heading2"/>
      </w:pPr>
      <w:r>
        <w:t xml:space="preserve">A naming test before the commission</w:t>
      </w:r>
    </w:p>
    <w:p>
      <w:pPr>
        <w:pStyle w:val="FirstParagraph"/>
      </w:pPr>
      <w:r>
        <w:t xml:space="preserve">Before treating a proposal as a digital worker, ask for a short operating description. It should answer these questions without relying on the name of a model, vendor, or framework:</w:t>
      </w:r>
    </w:p>
    <w:p>
      <w:pPr>
        <w:pStyle w:val="Compact"/>
        <w:numPr>
          <w:ilvl w:val="0"/>
          <w:numId w:val="1002"/>
        </w:numPr>
      </w:pPr>
      <w:r>
        <w:t xml:space="preserve">What is the worker called, and why is that identity expected to persist?</w:t>
      </w:r>
    </w:p>
    <w:p>
      <w:pPr>
        <w:pStyle w:val="Compact"/>
        <w:numPr>
          <w:ilvl w:val="0"/>
          <w:numId w:val="1002"/>
        </w:numPr>
      </w:pPr>
      <w:r>
        <w:t xml:space="preserve">What ongoing responsibility is it proposed to carry?</w:t>
      </w:r>
    </w:p>
    <w:p>
      <w:pPr>
        <w:pStyle w:val="Compact"/>
        <w:numPr>
          <w:ilvl w:val="0"/>
          <w:numId w:val="1002"/>
        </w:numPr>
      </w:pPr>
      <w:r>
        <w:t xml:space="preserve">Who owns the result and approves consequential changes?</w:t>
      </w:r>
    </w:p>
    <w:p>
      <w:pPr>
        <w:pStyle w:val="Compact"/>
        <w:numPr>
          <w:ilvl w:val="0"/>
          <w:numId w:val="1002"/>
        </w:numPr>
      </w:pPr>
      <w:r>
        <w:t xml:space="preserve">What harness and execution policy are currently bound to the worker?</w:t>
      </w:r>
    </w:p>
    <w:p>
      <w:pPr>
        <w:pStyle w:val="Compact"/>
        <w:numPr>
          <w:ilvl w:val="0"/>
          <w:numId w:val="1002"/>
        </w:numPr>
      </w:pPr>
      <w:r>
        <w:t xml:space="preserve">What can change without creating a new worker, and what would require a new commission?</w:t>
      </w:r>
    </w:p>
    <w:p>
      <w:pPr>
        <w:pStyle w:val="Compact"/>
        <w:numPr>
          <w:ilvl w:val="0"/>
          <w:numId w:val="1002"/>
        </w:numPr>
      </w:pPr>
      <w:r>
        <w:t xml:space="preserve">Where will its authority, evidence, handoffs, and current condition be inspected?</w:t>
      </w:r>
    </w:p>
    <w:p>
      <w:pPr>
        <w:pStyle w:val="Compact"/>
        <w:numPr>
          <w:ilvl w:val="0"/>
          <w:numId w:val="1002"/>
        </w:numPr>
      </w:pPr>
      <w:r>
        <w:t xml:space="preserve">What is the disposition if the responsibility no longer makes sense?</w:t>
      </w:r>
    </w:p>
    <w:p>
      <w:pPr>
        <w:pStyle w:val="FirstParagraph"/>
      </w:pPr>
      <w:r>
        <w:t xml:space="preserve">If the answer to the first question is</w:t>
      </w:r>
      <w:r>
        <w:t xml:space="preserve"> </w:t>
      </w:r>
      <w:r>
        <w:t xml:space="preserve">“</w:t>
      </w:r>
      <w:r>
        <w:t xml:space="preserve">our Claude workflow,</w:t>
      </w:r>
      <w:r>
        <w:t xml:space="preserve">”</w:t>
      </w:r>
      <w:r>
        <w:t xml:space="preserve"> </w:t>
      </w:r>
      <w:r>
        <w:t xml:space="preserve">“</w:t>
      </w:r>
      <w:r>
        <w:t xml:space="preserve">the nightly agent,</w:t>
      </w:r>
      <w:r>
        <w:t xml:space="preserve">”</w:t>
      </w:r>
      <w:r>
        <w:t xml:space="preserve"> </w:t>
      </w:r>
      <w:r>
        <w:t xml:space="preserve">or</w:t>
      </w:r>
      <w:r>
        <w:t xml:space="preserve"> </w:t>
      </w:r>
      <w:r>
        <w:t xml:space="preserve">“</w:t>
      </w:r>
      <w:r>
        <w:t xml:space="preserve">the research team,</w:t>
      </w:r>
      <w:r>
        <w:t xml:space="preserve">”</w:t>
      </w:r>
      <w:r>
        <w:t xml:space="preserve"> </w:t>
      </w:r>
      <w:r>
        <w:t xml:space="preserve">the sponsor should ask again. Those names may describe an implementation, trigger, or delivery arrangement. They do not yet identify the unit that will own work over time.</w:t>
      </w:r>
    </w:p>
    <w:p>
      <w:pPr>
        <w:pStyle w:val="BodyText"/>
      </w:pPr>
      <w:r>
        <w:t xml:space="preserve">If the answer is</w:t>
      </w:r>
      <w:r>
        <w:t xml:space="preserve"> </w:t>
      </w:r>
      <w:r>
        <w:t xml:space="preserve">“</w:t>
      </w:r>
      <w:r>
        <w:t xml:space="preserve">we do not know who owns it, but it performs well,</w:t>
      </w:r>
      <w:r>
        <w:t xml:space="preserve">”</w:t>
      </w:r>
      <w:r>
        <w:t xml:space="preserve"> </w:t>
      </w:r>
      <w:r>
        <w:t xml:space="preserve">the proposal is a capability demonstration. That can be valuable. It is not a commission.</w:t>
      </w:r>
    </w:p>
    <w:p>
      <w:pPr>
        <w:pStyle w:val="BodyText"/>
      </w:pPr>
      <w:r>
        <w:t xml:space="preserve">If the answer is</w:t>
      </w:r>
      <w:r>
        <w:t xml:space="preserve"> </w:t>
      </w:r>
      <w:r>
        <w:t xml:space="preserve">“</w:t>
      </w:r>
      <w:r>
        <w:t xml:space="preserve">it is autonomous, so it owns itself,</w:t>
      </w:r>
      <w:r>
        <w:t xml:space="preserve">”</w:t>
      </w:r>
      <w:r>
        <w:t xml:space="preserve"> </w:t>
      </w:r>
      <w:r>
        <w:t xml:space="preserve">the proposal has removed the accountable party precisely where the organization needs one. The system may execute, propose, test, preserve evidence, or escalate. A named person or organization remains answerable for the decision to authorize and continue the work.</w:t>
      </w:r>
    </w:p>
    <w:p>
      <w:pPr>
        <w:pStyle w:val="BodyText"/>
      </w:pPr>
      <w:r>
        <w:t xml:space="preserve">This naming test deliberately answers the first organizational question. It does not settle broad authority, model quality, runtime design, graph choice, database choice, or team topology. It establishes whether the sponsor has an object that can be governed without confusing it with its current machinery.</w:t>
      </w:r>
    </w:p>
    <w:p>
      <w:pPr>
        <w:pStyle w:val="BodyText"/>
      </w:pPr>
      <w:r>
        <w:t xml:space="preserve">That is enough for the first decision.</w:t>
      </w:r>
    </w:p>
    <w:p>
      <w:pPr>
        <w:pStyle w:val="BodyText"/>
      </w:pPr>
      <w:r>
        <w:t xml:space="preserve">A model can complete a task. A harness can run an agent. A schedule can trigger a daemon. A team can divide work. Those may all be part of a useful system. But the operating unit begins when the organization can name the role that persists through those choices, the responsibility it is being asked to carry, and the human or organizational owner who remains answerable.</w:t>
      </w:r>
    </w:p>
    <w:p>
      <w:pPr>
        <w:pStyle w:val="BodyText"/>
      </w:pPr>
      <w:r>
        <w:t xml:space="preserve">Only then is there something to commission.</w:t>
      </w:r>
    </w:p>
    <w:p>
      <w:pPr>
        <w:pStyle w:val="BodyText"/>
      </w:pPr>
      <w:r>
        <w:t xml:space="preserve">The next question is harder: what responsibility is narrow enough, continuous enough, and evidenced well enough to be assigned to that named worker now?</w:t>
      </w:r>
    </w:p>
    <w:bookmarkEnd w:id="32"/>
    <w:bookmarkStart w:id="36" w:name="sources-and-evidence-notes"/>
    <w:p>
      <w:pPr>
        <w:pStyle w:val="Heading2"/>
      </w:pPr>
      <w:r>
        <w:t xml:space="preserve">Sources and evidence notes</w:t>
      </w:r>
    </w:p>
    <w:p>
      <w:pPr>
        <w:numPr>
          <w:ilvl w:val="0"/>
          <w:numId w:val="1003"/>
        </w:numPr>
      </w:pPr>
      <w:r>
        <w:rPr>
          <w:i/>
          <w:iCs/>
        </w:rPr>
        <w:t xml:space="preserve">The book’s internal planning repository</w:t>
      </w:r>
      <w:r>
        <w:t xml:space="preserve"> </w:t>
      </w:r>
      <w:r>
        <w:t xml:space="preserve">— approved reader, governing question, operating definitions, evidence ceiling, and three-book exclusions. The commissioning model is a proposed book framework, not an enterprise outcome claim.</w:t>
      </w:r>
    </w:p>
    <w:p>
      <w:pPr>
        <w:numPr>
          <w:ilvl w:val="0"/>
          <w:numId w:val="1003"/>
        </w:numPr>
      </w:pPr>
      <w:r>
        <w:rPr>
          <w:i/>
          <w:iCs/>
        </w:rPr>
        <w:t xml:space="preserve">The book’s internal planning repository</w:t>
      </w:r>
      <w:r>
        <w:t xml:space="preserve"> </w:t>
      </w:r>
      <w:r>
        <w:t xml:space="preserve">— thesis that capability does not itself constitute commissioning; separation of identity, mission, authority, evidence, lifecycle, and handoffs. This is a tested-in-prose proposition, not verified external doctrine.</w:t>
      </w:r>
    </w:p>
    <w:p>
      <w:pPr>
        <w:numPr>
          <w:ilvl w:val="0"/>
          <w:numId w:val="1003"/>
        </w:numPr>
      </w:pPr>
      <w:r>
        <w:rPr>
          <w:i/>
          <w:iCs/>
        </w:rPr>
        <w:t xml:space="preserve">The book’s internal planning repository</w:t>
      </w:r>
      <w:r>
        <w:t xml:space="preserve"> </w:t>
      </w:r>
      <w:r>
        <w:t xml:space="preserve">and</w:t>
      </w:r>
      <w:r>
        <w:t xml:space="preserve"> </w:t>
      </w:r>
      <w:r>
        <w:rPr>
          <w:i/>
          <w:iCs/>
        </w:rPr>
        <w:t xml:space="preserve">The book’s internal planning repository</w:t>
      </w:r>
      <w:r>
        <w:t xml:space="preserve"> </w:t>
      </w:r>
      <w:r>
        <w:t xml:space="preserve">— approved workforce-sponsor framing, governing question, and separation from the three predecessor books.</w:t>
      </w:r>
    </w:p>
    <w:p>
      <w:pPr>
        <w:numPr>
          <w:ilvl w:val="0"/>
          <w:numId w:val="1003"/>
        </w:numPr>
      </w:pPr>
      <w:r>
        <w:rPr>
          <w:i/>
          <w:iCs/>
        </w:rPr>
        <w:t xml:space="preserve">The book’s internal planning repository</w:t>
      </w:r>
      <w:r>
        <w:t xml:space="preserve"> </w:t>
      </w:r>
      <w:r>
        <w:t xml:space="preserve">— Chapter 1 scope, required distinctions, core proof cases, exclusions, and 3,000–3,800-word target.</w:t>
      </w:r>
    </w:p>
    <w:p>
      <w:pPr>
        <w:numPr>
          <w:ilvl w:val="0"/>
          <w:numId w:val="1003"/>
        </w:numPr>
      </w:pPr>
      <w:r>
        <w:rPr>
          <w:i/>
          <w:iCs/>
        </w:rPr>
        <w:t xml:space="preserve">The book’s internal planning repository</w:t>
      </w:r>
      <w:r>
        <w:t xml:space="preserve"> </w:t>
      </w:r>
      <w:r>
        <w:t xml:space="preserve">— Chapter 1 promise: name the operating unit without conflating identity with model, runtime, task, team, or schedule.</w:t>
      </w:r>
    </w:p>
    <w:p>
      <w:pPr>
        <w:numPr>
          <w:ilvl w:val="0"/>
          <w:numId w:val="1003"/>
        </w:numPr>
      </w:pP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 </w:t>
      </w:r>
      <w:r>
        <w:t xml:space="preserve">— canonical estate scope and limits for the Chief/Employee Zero split, registration repair, Revenue Director portability, and the distinction between a digital worker and its harness.</w:t>
      </w:r>
    </w:p>
    <w:p>
      <w:pPr>
        <w:numPr>
          <w:ilvl w:val="0"/>
          <w:numId w:val="1003"/>
        </w:numPr>
      </w:pPr>
      <w:r>
        <w:rPr>
          <w:i/>
          <w:iCs/>
        </w:rPr>
        <w:t xml:space="preserve">The author’s operating decision log</w:t>
      </w:r>
      <w:r>
        <w:t xml:space="preserve"> </w:t>
      </w:r>
      <w:r>
        <w:t xml:space="preserve">— D1 and D2 support the distinct Chief of Staff and Employee Zero identities; D7 and D11 support the interactive, mission-less registration case and disclosed cross-system identity-join limit; D20 and D21 support the Revenue Director portability case and bounded delegation to Market Demand Scout.</w:t>
      </w:r>
    </w:p>
    <w:p>
      <w:pPr>
        <w:numPr>
          <w:ilvl w:val="0"/>
          <w:numId w:val="1003"/>
        </w:numPr>
      </w:pPr>
      <w:hyperlink r:id="rId33">
        <w:r>
          <w:rPr>
            <w:rStyle w:val="Hyperlink"/>
          </w:rPr>
          <w:t xml:space="preserve">Deloitte India,</w:t>
        </w:r>
        <w:r>
          <w:rPr>
            <w:rStyle w:val="Hyperlink"/>
          </w:rPr>
          <w:t xml:space="preserve"> </w:t>
        </w:r>
        <w:r>
          <w:rPr>
            <w:rStyle w:val="Hyperlink"/>
          </w:rPr>
          <w:t xml:space="preserve">“</w:t>
        </w:r>
        <w:r>
          <w:rPr>
            <w:rStyle w:val="Hyperlink"/>
          </w:rPr>
          <w:t xml:space="preserve">AI meets efficiency: the rise of Digital FTEs</w:t>
        </w:r>
        <w:r>
          <w:rPr>
            <w:rStyle w:val="Hyperlink"/>
          </w:rPr>
          <w:t xml:space="preserve">”</w:t>
        </w:r>
        <w:r>
          <w:rPr>
            <w:rStyle w:val="Hyperlink"/>
          </w:rPr>
          <w:t xml:space="preserve"> </w:t>
        </w:r>
        <w:r>
          <w:rPr>
            <w:rStyle w:val="Hyperlink"/>
          </w:rPr>
          <w:t xml:space="preserve">(2025-07-01)</w:t>
        </w:r>
      </w:hyperlink>
      <w:r>
        <w:t xml:space="preserve"> </w:t>
      </w:r>
      <w:r>
        <w:t xml:space="preserve">— supports only Deloitte’s use of Digital FTE as a capacity metaphor for repeatable-process automation; it does not support legal status, personhood, or a universal worker definition.</w:t>
      </w:r>
    </w:p>
    <w:p>
      <w:pPr>
        <w:numPr>
          <w:ilvl w:val="0"/>
          <w:numId w:val="1003"/>
        </w:numPr>
      </w:pPr>
      <w:hyperlink r:id="rId34">
        <w:r>
          <w:rPr>
            <w:rStyle w:val="Hyperlink"/>
          </w:rPr>
          <w:t xml:space="preserve">Gopal Yuvaraj,</w:t>
        </w:r>
        <w:r>
          <w:rPr>
            <w:rStyle w:val="Hyperlink"/>
          </w:rPr>
          <w:t xml:space="preserve"> </w:t>
        </w:r>
        <w:r>
          <w:rPr>
            <w:rStyle w:val="Hyperlink"/>
          </w:rPr>
          <w:t xml:space="preserve">“</w:t>
        </w:r>
        <w:r>
          <w:rPr>
            <w:rStyle w:val="Hyperlink"/>
          </w:rPr>
          <w:t xml:space="preserve">Workforce Unit Abstraction for Governing Hybrid Human and Artificial Intelligence Operations</w:t>
        </w:r>
        <w:r>
          <w:rPr>
            <w:rStyle w:val="Hyperlink"/>
          </w:rPr>
          <w:t xml:space="preserve">”</w:t>
        </w:r>
        <w:r>
          <w:rPr>
            <w:rStyle w:val="Hyperlink"/>
          </w:rPr>
          <w:t xml:space="preserve"> </w:t>
        </w:r>
        <w:r>
          <w:rPr>
            <w:rStyle w:val="Hyperlink"/>
          </w:rPr>
          <w:t xml:space="preserve">(2026)</w:t>
        </w:r>
      </w:hyperlink>
      <w:r>
        <w:t xml:space="preserve"> </w:t>
      </w:r>
      <w:r>
        <w:t xml:space="preserve">and</w:t>
      </w:r>
      <w:r>
        <w:t xml:space="preserve"> </w:t>
      </w:r>
      <w:hyperlink r:id="rId35">
        <w:r>
          <w:rPr>
            <w:rStyle w:val="Hyperlink"/>
          </w:rPr>
          <w:t xml:space="preserve">primary PDF</w:t>
        </w:r>
      </w:hyperlink>
      <w:r>
        <w:t xml:space="preserve"> </w:t>
      </w:r>
      <w:r>
        <w:t xml:space="preserve">— supports the existence of a conceptual seven-attribute WUA proposal. It does not establish an adopted enterprise standard or substantiate the paper’s numerical claims.</w:t>
      </w:r>
    </w:p>
    <w:p>
      <w:pPr>
        <w:numPr>
          <w:ilvl w:val="0"/>
          <w:numId w:val="1003"/>
        </w:numPr>
      </w:pPr>
      <w:r>
        <w:rPr>
          <w:i/>
          <w:iCs/>
        </w:rPr>
        <w:t xml:space="preserve">The book’s internal research ledger</w:t>
      </w:r>
      <w:r>
        <w:t xml:space="preserve"> </w:t>
      </w:r>
      <w:r>
        <w:t xml:space="preserve">and</w:t>
      </w:r>
      <w:r>
        <w:t xml:space="preserve"> </w:t>
      </w:r>
      <w:r>
        <w:rPr>
          <w:i/>
          <w:iCs/>
        </w:rPr>
        <w:t xml:space="preserve">The book’s internal research ledger</w:t>
      </w:r>
      <w:r>
        <w:t xml:space="preserve"> </w:t>
      </w:r>
      <w:r>
        <w:t xml:space="preserve">— verification and limits for the Digital FTE and WUA terminology.</w:t>
      </w:r>
    </w:p>
    <w:p>
      <w:pPr>
        <w:numPr>
          <w:ilvl w:val="0"/>
          <w:numId w:val="1003"/>
        </w:numPr>
      </w:pPr>
      <w:r>
        <w:rPr>
          <w:i/>
          <w:iCs/>
        </w:rPr>
        <w:t xml:space="preserve">The book’s internal planning repository</w:t>
      </w:r>
      <w:r>
        <w:t xml:space="preserve">;</w:t>
      </w:r>
      <w:r>
        <w:t xml:space="preserve"> </w:t>
      </w:r>
      <w:r>
        <w:rPr>
          <w:i/>
          <w:iCs/>
        </w:rPr>
        <w:t xml:space="preserve">The book’s internal planning repository</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author’s prior research files</w:t>
      </w:r>
      <w:r>
        <w:t xml:space="preserve"> </w:t>
      </w:r>
      <w:r>
        <w:t xml:space="preserve">— voice and cadence sources only; they do not independently support Chapter 1 factual claims.</w:t>
      </w:r>
    </w:p>
    <w:p>
      <w:r>
        <w:pict>
          <v:rect style="width:0;height:1.5pt" o:hralign="center" o:hrstd="t" o:hr="t"/>
        </w:pict>
      </w:r>
    </w:p>
    <w:bookmarkEnd w:id="36"/>
    <w:bookmarkEnd w:id="37"/>
    <w:bookmarkStart w:id="47" w:name="chapter-2-commission-one-responsibility"/>
    <w:p>
      <w:pPr>
        <w:pStyle w:val="Heading1"/>
      </w:pPr>
      <w:r>
        <w:t xml:space="preserve">Chapter 2 — Commission One Responsibility</w:t>
      </w:r>
    </w:p>
    <w:p>
      <w:pPr>
        <w:pStyle w:val="FirstParagraph"/>
      </w:pPr>
      <w:r>
        <w:t xml:space="preserve">A pilot can earn a negative decision.</w:t>
      </w:r>
    </w:p>
    <w:p>
      <w:pPr>
        <w:pStyle w:val="BodyText"/>
      </w:pPr>
      <w:r>
        <w:t xml:space="preserve">In one recent pilot, the first-pass acceptance result was 1 of 6, against an 8 of 28 baseline. The pilot also stopped at a human approval gate instead of demonstrating that it could operate through that decision. The disposition was rejection: preserve the evidence, revert the temporary route, keep the mission paused, and do not spread the experiment to other governed work.</w:t>
      </w:r>
    </w:p>
    <w:p>
      <w:pPr>
        <w:pStyle w:val="BodyText"/>
      </w:pPr>
      <w:r>
        <w:t xml:space="preserve">The useful reading is not that the AI system was worthless. The pilot answered a narrower question and protected the organization from treating a partial answer as a commission.</w:t>
      </w:r>
    </w:p>
    <w:p>
      <w:pPr>
        <w:pStyle w:val="BodyText"/>
      </w:pPr>
      <w:r>
        <w:t xml:space="preserve">A pilot may show that a system can produce useful work. It may show that a particular execution route is faster, cheaper, or more reliable for a bounded task. It may uncover defects that no design meeting would have found. All of that is useful. But none of it, by itself, authorizes an organization to give a named digital worker continuing ownership of work that will matter next week, next month, or after the underlying implementation changes.</w:t>
      </w:r>
    </w:p>
    <w:p>
      <w:pPr>
        <w:pStyle w:val="BodyText"/>
      </w:pPr>
      <w:r>
        <w:t xml:space="preserve">The question is not,</w:t>
      </w:r>
      <w:r>
        <w:t xml:space="preserve"> </w:t>
      </w:r>
      <w:r>
        <w:t xml:space="preserve">“</w:t>
      </w:r>
      <w:r>
        <w:t xml:space="preserve">Did the pilot do something impressive?</w:t>
      </w:r>
      <w:r>
        <w:t xml:space="preserve">”</w:t>
      </w:r>
    </w:p>
    <w:p>
      <w:pPr>
        <w:pStyle w:val="BodyText"/>
      </w:pPr>
      <w:r>
        <w:t xml:space="preserve">The question is: should this named digital worker be commissioned to own this ongoing responsibility now?</w:t>
      </w:r>
    </w:p>
    <w:p>
      <w:pPr>
        <w:pStyle w:val="BodyText"/>
      </w:pPr>
      <w:r>
        <w:t xml:space="preserve">That question is intentionally harder. It asks for a responsible no as readily as a yes.</w:t>
      </w:r>
    </w:p>
    <w:bookmarkStart w:id="38" w:name="a-commission-is-not-a-compliment"/>
    <w:p>
      <w:pPr>
        <w:pStyle w:val="Heading2"/>
      </w:pPr>
      <w:r>
        <w:t xml:space="preserve">A commission is not a compliment</w:t>
      </w:r>
    </w:p>
    <w:p>
      <w:pPr>
        <w:pStyle w:val="FirstParagraph"/>
      </w:pPr>
      <w:r>
        <w:t xml:space="preserve">Organizations are good at rewarding a successful demonstration with a larger ambition. A prototype generates a clean report, so someone asks it to run reporting. A workflow finds promising accounts, so someone asks it to own pipeline development. A system catches a defect, so someone asks it to manage quality. The move feels efficient because the capability is visible.</w:t>
      </w:r>
    </w:p>
    <w:p>
      <w:pPr>
        <w:pStyle w:val="BodyText"/>
      </w:pPr>
      <w:r>
        <w:t xml:space="preserve">But a commission is not a compliment for good performance. It is an operating decision.</w:t>
      </w:r>
    </w:p>
    <w:p>
      <w:pPr>
        <w:pStyle w:val="BodyText"/>
      </w:pPr>
      <w:r>
        <w:t xml:space="preserve">When a sponsor commissions a worker, the sponsor is not saying,</w:t>
      </w:r>
      <w:r>
        <w:t xml:space="preserve"> </w:t>
      </w:r>
      <w:r>
        <w:t xml:space="preserve">“</w:t>
      </w:r>
      <w:r>
        <w:t xml:space="preserve">This system is smart enough.</w:t>
      </w:r>
      <w:r>
        <w:t xml:space="preserve">”</w:t>
      </w:r>
      <w:r>
        <w:t xml:space="preserve"> </w:t>
      </w:r>
      <w:r>
        <w:t xml:space="preserve">The sponsor is authorizing one named operating unit to carry one bounded responsibility under conditions that can be inspected, changed, and stopped. The worker may use a model, a runtime, a schedule, a team of tools, or a different harness later. Those are execution choices. The commission is about who is meant to maintain what outcome, with whose authority, and with what human accountability around it.</w:t>
      </w:r>
    </w:p>
    <w:p>
      <w:pPr>
        <w:pStyle w:val="BodyText"/>
      </w:pPr>
      <w:r>
        <w:t xml:space="preserve">That is why the smallest useful unit is one worker plus one ongoing responsibility.</w:t>
      </w:r>
    </w:p>
    <w:p>
      <w:pPr>
        <w:pStyle w:val="BodyText"/>
      </w:pPr>
      <w:r>
        <w:t xml:space="preserve">Not a broad job description. Not a backlog. Not</w:t>
      </w:r>
      <w:r>
        <w:t xml:space="preserve"> </w:t>
      </w:r>
      <w:r>
        <w:t xml:space="preserve">“</w:t>
      </w:r>
      <w:r>
        <w:t xml:space="preserve">help the business grow.</w:t>
      </w:r>
      <w:r>
        <w:t xml:space="preserve">”</w:t>
      </w:r>
      <w:r>
        <w:t xml:space="preserve"> </w:t>
      </w:r>
      <w:r>
        <w:t xml:space="preserve">Not</w:t>
      </w:r>
      <w:r>
        <w:t xml:space="preserve"> </w:t>
      </w:r>
      <w:r>
        <w:t xml:space="preserve">“</w:t>
      </w:r>
      <w:r>
        <w:t xml:space="preserve">be our AI analyst.</w:t>
      </w:r>
      <w:r>
        <w:t xml:space="preserve">”</w:t>
      </w:r>
      <w:r>
        <w:t xml:space="preserve"> </w:t>
      </w:r>
      <w:r>
        <w:t xml:space="preserve">Not a list of unrelated tasks pasted together because the same model can perform them. A broad job description creates the appearance of ownership before anyone has stated what must remain true over time.</w:t>
      </w:r>
    </w:p>
    <w:p>
      <w:pPr>
        <w:pStyle w:val="BodyText"/>
      </w:pPr>
      <w:r>
        <w:t xml:space="preserve">An ongoing responsibility has a different shape. It names a continuing condition, a bounded domain, and a reason someone would notice if the work degraded. It has an owner who can answer for the result, even though the worker executes part of the work. It has edges: what belongs inside the responsibility, what must be handed off, and what remains a human decision.</w:t>
      </w:r>
    </w:p>
    <w:p>
      <w:pPr>
        <w:pStyle w:val="BodyText"/>
      </w:pPr>
      <w:r>
        <w:t xml:space="preserve">Consider the difference:</w:t>
      </w:r>
    </w:p>
    <w:p>
      <w:pPr>
        <w:pStyle w:val="Compact"/>
        <w:numPr>
          <w:ilvl w:val="0"/>
          <w:numId w:val="1004"/>
        </w:numPr>
      </w:pPr>
      <w:r>
        <w:t xml:space="preserve">“</w:t>
      </w:r>
      <w:r>
        <w:t xml:space="preserve">Review the current account list</w:t>
      </w:r>
      <w:r>
        <w:t xml:space="preserve">”</w:t>
      </w:r>
      <w:r>
        <w:t xml:space="preserve"> </w:t>
      </w:r>
      <w:r>
        <w:t xml:space="preserve">is a task.</w:t>
      </w:r>
    </w:p>
    <w:p>
      <w:pPr>
        <w:pStyle w:val="Compact"/>
        <w:numPr>
          <w:ilvl w:val="0"/>
          <w:numId w:val="1004"/>
        </w:numPr>
      </w:pPr>
      <w:r>
        <w:t xml:space="preserve">“</w:t>
      </w:r>
      <w:r>
        <w:t xml:space="preserve">Maintain a qualified reserve of accounts under an agreed evidence standard</w:t>
      </w:r>
      <w:r>
        <w:t xml:space="preserve">”</w:t>
      </w:r>
      <w:r>
        <w:t xml:space="preserve"> </w:t>
      </w:r>
      <w:r>
        <w:t xml:space="preserve">is an ongoing responsibility.</w:t>
      </w:r>
    </w:p>
    <w:p>
      <w:pPr>
        <w:pStyle w:val="Compact"/>
        <w:numPr>
          <w:ilvl w:val="0"/>
          <w:numId w:val="1004"/>
        </w:numPr>
      </w:pPr>
      <w:r>
        <w:t xml:space="preserve">“</w:t>
      </w:r>
      <w:r>
        <w:t xml:space="preserve">Draft a weekly update</w:t>
      </w:r>
      <w:r>
        <w:t xml:space="preserve">”</w:t>
      </w:r>
      <w:r>
        <w:t xml:space="preserve"> </w:t>
      </w:r>
      <w:r>
        <w:t xml:space="preserve">is a task.</w:t>
      </w:r>
    </w:p>
    <w:p>
      <w:pPr>
        <w:pStyle w:val="Compact"/>
        <w:numPr>
          <w:ilvl w:val="0"/>
          <w:numId w:val="1004"/>
        </w:numPr>
      </w:pPr>
      <w:r>
        <w:t xml:space="preserve">“</w:t>
      </w:r>
      <w:r>
        <w:t xml:space="preserve">Maintain a reliable weekly operating brief, including visible exceptions and unresolved decisions</w:t>
      </w:r>
      <w:r>
        <w:t xml:space="preserve">”</w:t>
      </w:r>
      <w:r>
        <w:t xml:space="preserve"> </w:t>
      </w:r>
      <w:r>
        <w:t xml:space="preserve">is an ongoing responsibility.</w:t>
      </w:r>
    </w:p>
    <w:p>
      <w:pPr>
        <w:pStyle w:val="Compact"/>
        <w:numPr>
          <w:ilvl w:val="0"/>
          <w:numId w:val="1004"/>
        </w:numPr>
      </w:pPr>
      <w:r>
        <w:t xml:space="preserve">“</w:t>
      </w:r>
      <w:r>
        <w:t xml:space="preserve">Find documentation gaps</w:t>
      </w:r>
      <w:r>
        <w:t xml:space="preserve">”</w:t>
      </w:r>
      <w:r>
        <w:t xml:space="preserve"> </w:t>
      </w:r>
      <w:r>
        <w:t xml:space="preserve">is a task.</w:t>
      </w:r>
    </w:p>
    <w:p>
      <w:pPr>
        <w:pStyle w:val="Compact"/>
        <w:numPr>
          <w:ilvl w:val="0"/>
          <w:numId w:val="1004"/>
        </w:numPr>
      </w:pPr>
      <w:r>
        <w:t xml:space="preserve">“</w:t>
      </w:r>
      <w:r>
        <w:t xml:space="preserve">Keep a defined body of operational documentation current enough for its intended users</w:t>
      </w:r>
      <w:r>
        <w:t xml:space="preserve">”</w:t>
      </w:r>
      <w:r>
        <w:t xml:space="preserve"> </w:t>
      </w:r>
      <w:r>
        <w:t xml:space="preserve">is an ongoing responsibility.</w:t>
      </w:r>
    </w:p>
    <w:p>
      <w:pPr>
        <w:pStyle w:val="FirstParagraph"/>
      </w:pPr>
      <w:r>
        <w:t xml:space="preserve">The second statement in each pair is not automatically commissionable. It simply gives the sponsor something real to judge. It says what must continue to be true, what can degrade, and where evidence should appear.</w:t>
      </w:r>
    </w:p>
    <w:p>
      <w:pPr>
        <w:pStyle w:val="BodyText"/>
      </w:pPr>
      <w:r>
        <w:t xml:space="preserve">A commission begins when the responsibility can be stated plainly enough that a human owner can recognize success, failure, drift, and an appropriate stop.</w:t>
      </w:r>
    </w:p>
    <w:bookmarkEnd w:id="38"/>
    <w:bookmarkStart w:id="39" w:name="Xae5be589fa8ef7935846435562e6a6f6d254bbc"/>
    <w:p>
      <w:pPr>
        <w:pStyle w:val="Heading2"/>
      </w:pPr>
      <w:r>
        <w:t xml:space="preserve">The responsibility must be smaller than the aspiration</w:t>
      </w:r>
    </w:p>
    <w:p>
      <w:pPr>
        <w:pStyle w:val="FirstParagraph"/>
      </w:pPr>
      <w:r>
        <w:t xml:space="preserve">The phrase</w:t>
      </w:r>
      <w:r>
        <w:t xml:space="preserve"> </w:t>
      </w:r>
      <w:r>
        <w:t xml:space="preserve">“</w:t>
      </w:r>
      <w:r>
        <w:t xml:space="preserve">digital workforce</w:t>
      </w:r>
      <w:r>
        <w:t xml:space="preserve">”</w:t>
      </w:r>
      <w:r>
        <w:t xml:space="preserve"> </w:t>
      </w:r>
      <w:r>
        <w:t xml:space="preserve">can make people reach for an org chart too early. They start naming executives, departments, and broad roles before they have tested whether a single responsibility can be carried accountably. That is backwards.</w:t>
      </w:r>
    </w:p>
    <w:p>
      <w:pPr>
        <w:pStyle w:val="BodyText"/>
      </w:pPr>
      <w:r>
        <w:t xml:space="preserve">A commission should be smaller than the aspiration. The aspiration may be better customer service, a healthier pipeline, more reliable operations, or a more responsive organization. Those are legitimate outcomes to want. They are not yet commissions.</w:t>
      </w:r>
    </w:p>
    <w:p>
      <w:pPr>
        <w:pStyle w:val="BodyText"/>
      </w:pPr>
      <w:r>
        <w:t xml:space="preserve">The sponsor needs a responsibility that can survive contact with ordinary operating questions: What must this worker keep true? What evidence distinguishes a maintained responsibility from a pile of plausible output? What work is inside the boundary, and what work belongs to another owner? What does the worker do when the available evidence is incomplete, contradictory, or stale? Which decisions can it prepare, and which decisions must return to a person with authority? What changes would narrow the responsibility rather than quietly expanding it? What would tell us that the commission should pause, be redesigned, or end?</w:t>
      </w:r>
    </w:p>
    <w:p>
      <w:pPr>
        <w:pStyle w:val="BodyText"/>
      </w:pPr>
      <w:r>
        <w:t xml:space="preserve">If those questions cannot be answered without hand-waving, the proposal is not ready for a larger pilot. It is not ready for a commission at all.</w:t>
      </w:r>
    </w:p>
    <w:p>
      <w:pPr>
        <w:pStyle w:val="BodyText"/>
      </w:pPr>
      <w:r>
        <w:t xml:space="preserve">The point is inspectability, not ceremonial paperwork. A vague role is cheap at the beginning and expensive at the first exception. The exception arrives as a source the worker cannot access, a decision it should not make, a handoff no one receives, an outcome that no one can measure, or a system that works only while one expert silently babysits it.</w:t>
      </w:r>
    </w:p>
    <w:p>
      <w:pPr>
        <w:pStyle w:val="BodyText"/>
      </w:pPr>
      <w:r>
        <w:t xml:space="preserve">A successful first run does not erase those questions. It usually makes them more urgent.</w:t>
      </w:r>
    </w:p>
    <w:bookmarkEnd w:id="39"/>
    <w:bookmarkStart w:id="40" w:name="Xaa901033598146b949c86b2e20105722b8009ab"/>
    <w:p>
      <w:pPr>
        <w:pStyle w:val="Heading2"/>
      </w:pPr>
      <w:r>
        <w:t xml:space="preserve">Revenue Director: ownership is a bounded contract</w:t>
      </w:r>
    </w:p>
    <w:p>
      <w:pPr>
        <w:pStyle w:val="FirstParagraph"/>
      </w:pPr>
      <w:r>
        <w:t xml:space="preserve">The Revenue Director case is useful because it did not start with a claim that a model had become a sales organization. It was given a defined continuous commercial responsibility, a named operating contract, explicit evidence expectations, defined handoffs, and a queue of decisions that still belonged to me.</w:t>
      </w:r>
    </w:p>
    <w:p>
      <w:pPr>
        <w:pStyle w:val="BodyText"/>
      </w:pPr>
      <w:r>
        <w:t xml:space="preserve">The work included maintaining commercial prioritization, evaluating a campaign portfolio, monitoring qualified-reserve health, directing Market Demand Scout, receiving relationship-continuity handoffs, consuming pipeline truth, and preparing evidence-backed decisions for me. It could recommend a campaign be promoted, refined, paused, or killed. It did not gain permission to turn those recommendations into unreviewed external action.</w:t>
      </w:r>
    </w:p>
    <w:p>
      <w:pPr>
        <w:pStyle w:val="BodyText"/>
      </w:pPr>
      <w:r>
        <w:t xml:space="preserve">That distinction matters.</w:t>
      </w:r>
      <w:r>
        <w:t xml:space="preserve"> </w:t>
      </w:r>
      <w:r>
        <w:t xml:space="preserve">“</w:t>
      </w:r>
      <w:r>
        <w:t xml:space="preserve">Own the continuous commercial system</w:t>
      </w:r>
      <w:r>
        <w:t xml:space="preserve">”</w:t>
      </w:r>
      <w:r>
        <w:t xml:space="preserve"> </w:t>
      </w:r>
      <w:r>
        <w:t xml:space="preserve">would be dangerous language if it meant a worker could redefine commercial strategy, contact prospects without approval, mutate records freely, or treat its own confidence as market truth. In this bounded arrangement, the recorded assignment produced an evaluation and a decision queue while preserving two simple constraints: zero external communications and zero mutations of existing commercial records.</w:t>
      </w:r>
    </w:p>
    <w:p>
      <w:pPr>
        <w:pStyle w:val="BodyText"/>
      </w:pPr>
      <w:r>
        <w:t xml:space="preserve">The work was continuous because the responsibility did not end when one report was delivered. The report was evidence of a cycle in a continuing contract. The responsibility had to keep receiving changing commercial information, preserve the difference between observed market behavior and internal assessment, hand work to the appropriate counterpart, and return decisions requiring my judgment to me.</w:t>
      </w:r>
    </w:p>
    <w:p>
      <w:pPr>
        <w:pStyle w:val="BodyText"/>
      </w:pPr>
      <w:r>
        <w:t xml:space="preserve">That is the kind of difference a commission must make visible. A digital worker does not become an owner merely because it can generate a good recommendation. It becomes a candidate for a bounded commission when the organization can say what it is meant to maintain, what it may do to maintain it, what it must not do, and who receives the decision when the work exceeds that boundary.</w:t>
      </w:r>
    </w:p>
    <w:p>
      <w:pPr>
        <w:pStyle w:val="BodyText"/>
      </w:pPr>
      <w:r>
        <w:t xml:space="preserve">The Revenue Director also moved from Antigravity to OMP while retaining its identity, management direction, context, authority boundaries, and work products. That separates the worker’s responsibility from the harness that happens to execute it. Treating the runtime as if it were the role is a common mistake.</w:t>
      </w:r>
    </w:p>
    <w:p>
      <w:pPr>
        <w:pStyle w:val="BodyText"/>
      </w:pPr>
      <w:r>
        <w:t xml:space="preserve">A commission should attach to the role contract, not to the current machinery.</w:t>
      </w:r>
    </w:p>
    <w:p>
      <w:pPr>
        <w:pStyle w:val="BodyText"/>
      </w:pPr>
      <w:r>
        <w:t xml:space="preserve">The boundary is equally important for the growth decision. The responsibility may contribute to commercial work, but deciding where freed capacity should be reinvested is a separate strategic decision. First decide whether the worker can accountably carry its bounded responsibility; the broader allocation of resulting capacity is another conversation.</w:t>
      </w:r>
    </w:p>
    <w:bookmarkEnd w:id="40"/>
    <w:bookmarkStart w:id="41" w:name="capability-is-evidence-not-approval"/>
    <w:p>
      <w:pPr>
        <w:pStyle w:val="Heading2"/>
      </w:pPr>
      <w:r>
        <w:t xml:space="preserve">Capability is evidence, not approval</w:t>
      </w:r>
    </w:p>
    <w:p>
      <w:pPr>
        <w:pStyle w:val="FirstParagraph"/>
      </w:pPr>
      <w:r>
        <w:t xml:space="preserve">The temptation to scale a pilot comes from a reasonable place. Leaders want evidence before they make commitments. A pilot is often the safest way to obtain it.</w:t>
      </w:r>
    </w:p>
    <w:p>
      <w:pPr>
        <w:pStyle w:val="BodyText"/>
      </w:pPr>
      <w:r>
        <w:t xml:space="preserve">The trouble begins when the result is converted into a decision it did not test.</w:t>
      </w:r>
    </w:p>
    <w:p>
      <w:pPr>
        <w:pStyle w:val="BodyText"/>
      </w:pPr>
      <w:r>
        <w:t xml:space="preserve">A pilot can test a narrow capability claim: whether a workflow can generate an artifact, whether a model can follow a policy under a stated protocol, whether a route can meet a defined quality bar, whether a handoff can be reconstructed, or whether a worker can operate within a deliberately limited authority boundary. Those are useful tests. They narrow uncertainty.</w:t>
      </w:r>
    </w:p>
    <w:p>
      <w:pPr>
        <w:pStyle w:val="BodyText"/>
      </w:pPr>
      <w:r>
        <w:t xml:space="preserve">They do not answer every question required for an ongoing commission.</w:t>
      </w:r>
    </w:p>
    <w:p>
      <w:pPr>
        <w:pStyle w:val="BodyText"/>
      </w:pPr>
      <w:r>
        <w:t xml:space="preserve">Suppose a pilot produces acceptable output on ten runs. That may be strong evidence about those ten runs. It may say little about whether the responsibility degrades when input conditions change, whether a human owner can reconstruct what happened, whether unacknowledged handoffs accumulate, whether the system knows when to stop, or whether a seemingly small authority exception will become the normal way work gets done.</w:t>
      </w:r>
    </w:p>
    <w:p>
      <w:pPr>
        <w:pStyle w:val="BodyText"/>
      </w:pPr>
      <w:r>
        <w:t xml:space="preserve">The response is not to demand that the pilot prove the entire future. No responsible operating decision can do that. The response is to keep the claim and the decision proportional.</w:t>
      </w:r>
    </w:p>
    <w:p>
      <w:pPr>
        <w:pStyle w:val="BodyText"/>
      </w:pPr>
      <w:r>
        <w:t xml:space="preserve">If the evidence supports a bounded task, authorize a bounded task.</w:t>
      </w:r>
    </w:p>
    <w:p>
      <w:pPr>
        <w:pStyle w:val="BodyText"/>
      </w:pPr>
      <w:r>
        <w:t xml:space="preserve">If the evidence supports a monitored responsibility under narrow authority, commission it under those conditions.</w:t>
      </w:r>
    </w:p>
    <w:p>
      <w:pPr>
        <w:pStyle w:val="BodyText"/>
      </w:pPr>
      <w:r>
        <w:t xml:space="preserve">If the evidence shows useful capability but leaves the owner, authority, evidence, or stop path unresolved, return for clarification or constrain the commission rather than promoting the system because the demo was persuasive.</w:t>
      </w:r>
    </w:p>
    <w:p>
      <w:pPr>
        <w:pStyle w:val="BodyText"/>
      </w:pPr>
      <w:r>
        <w:t xml:space="preserve">That is why the OMP rejection is a better governance case than a triumphal pilot story. Its evidence did not support continuation under the proposed conditions. The rejection prevented a local exception from becoming an unexamined pattern. It preserved what the pilot learned without pretending that the pilot earned a larger mandate.</w:t>
      </w:r>
    </w:p>
    <w:p>
      <w:pPr>
        <w:pStyle w:val="BodyText"/>
      </w:pPr>
      <w:r>
        <w:t xml:space="preserve">A failed commission proposal can still produce useful engineering knowledge. A rejected pilot can still protect the portfolio. A refusal can be evidence that the sponsor is doing the job.</w:t>
      </w:r>
    </w:p>
    <w:bookmarkEnd w:id="41"/>
    <w:bookmarkStart w:id="42" w:name="a-stop-path-reveals-the-real-boundary"/>
    <w:p>
      <w:pPr>
        <w:pStyle w:val="Heading2"/>
      </w:pPr>
      <w:r>
        <w:t xml:space="preserve">A stop path reveals the real boundary</w:t>
      </w:r>
    </w:p>
    <w:p>
      <w:pPr>
        <w:pStyle w:val="FirstParagraph"/>
      </w:pPr>
      <w:r>
        <w:t xml:space="preserve">A commission is not credible because the worker never needs help. It is credible when the work can identify the difference between a repairable problem and a decision that belongs to a human owner.</w:t>
      </w:r>
    </w:p>
    <w:p>
      <w:pPr>
        <w:pStyle w:val="BodyText"/>
      </w:pPr>
      <w:r>
        <w:t xml:space="preserve">Employee Zero offers a concrete example. The repair effort identified and corrected three recurring mission-authoring and configuration defects. The repairs were checked through the mission’s actual governed daily run rather than accepted from a dry run or a process exit code. Then the work reached a different boundary: an expired OAuth session for a credential tied to my account.</w:t>
      </w:r>
    </w:p>
    <w:p>
      <w:pPr>
        <w:pStyle w:val="BodyText"/>
      </w:pPr>
      <w:r>
        <w:t xml:space="preserve">The system did not need a more determined retry. It needed me to authenticate.</w:t>
      </w:r>
    </w:p>
    <w:p>
      <w:pPr>
        <w:pStyle w:val="BodyText"/>
      </w:pPr>
      <w:r>
        <w:t xml:space="preserve">That detail is the point. The repairable defects belonged to the work and could be corrected through the established process. The credential decision belonged to the account holder and required an interactive human action. Treating those situations as identical would either invite unsafe workarounds or waste attention on retries that cannot solve the problem.</w:t>
      </w:r>
    </w:p>
    <w:p>
      <w:pPr>
        <w:pStyle w:val="BodyText"/>
      </w:pPr>
      <w:r>
        <w:t xml:space="preserve">For a commission, the important question is classification: what can the worker correct within its boundary, what must be escalated, who has authority to resolve it, and what happens to the responsibility while the blocker remains?</w:t>
      </w:r>
    </w:p>
    <w:p>
      <w:pPr>
        <w:pStyle w:val="BodyText"/>
      </w:pPr>
      <w:r>
        <w:t xml:space="preserve">A worker with a good stop path is not less capable. It is more legible to its owner.</w:t>
      </w:r>
    </w:p>
    <w:p>
      <w:pPr>
        <w:pStyle w:val="BodyText"/>
      </w:pPr>
      <w:r>
        <w:t xml:space="preserve">This is especially important because the word</w:t>
      </w:r>
      <w:r>
        <w:t xml:space="preserve"> </w:t>
      </w:r>
      <w:r>
        <w:t xml:space="preserve">“</w:t>
      </w:r>
      <w:r>
        <w:t xml:space="preserve">employee</w:t>
      </w:r>
      <w:r>
        <w:t xml:space="preserve">”</w:t>
      </w:r>
      <w:r>
        <w:t xml:space="preserve"> </w:t>
      </w:r>
      <w:r>
        <w:t xml:space="preserve">can tempt people into anthropomorphic accountability. The worker can execute, propose, check, preserve evidence, and surface a decision. It does not become the accountable party. The accountable party remains the named human or organization that granted the commission, owns the authority, and accepts the consequence.</w:t>
      </w:r>
    </w:p>
    <w:p>
      <w:pPr>
        <w:pStyle w:val="BodyText"/>
      </w:pPr>
      <w:r>
        <w:t xml:space="preserve">A worker may carry a responsibility. It does not absorb human accountability.</w:t>
      </w:r>
    </w:p>
    <w:p>
      <w:pPr>
        <w:pStyle w:val="BodyText"/>
      </w:pPr>
      <w:r>
        <w:t xml:space="preserve">The packet previewed in Chapter 1 now has a concrete test: can the sponsor name the responsibility, owner, authority, evidence, handoffs, and next disposition in ordinary language? The rest of this chapter fills the first two fields; later chapters separate the others.</w:t>
      </w:r>
    </w:p>
    <w:bookmarkEnd w:id="42"/>
    <w:bookmarkStart w:id="43" w:name="the-commission-test"/>
    <w:p>
      <w:pPr>
        <w:pStyle w:val="Heading2"/>
      </w:pPr>
      <w:r>
        <w:t xml:space="preserve">The commission test</w:t>
      </w:r>
    </w:p>
    <w:p>
      <w:pPr>
        <w:pStyle w:val="FirstParagraph"/>
      </w:pPr>
      <w:r>
        <w:t xml:space="preserve">Before commissioning, a sponsor should be able to answer a short set of questions in ordinary language.</w:t>
      </w:r>
    </w:p>
    <w:p>
      <w:pPr>
        <w:pStyle w:val="BodyText"/>
      </w:pPr>
      <w:r>
        <w:rPr>
          <w:b/>
          <w:bCs/>
        </w:rPr>
        <w:t xml:space="preserve">Who is the worker?</w:t>
      </w:r>
      <w:r>
        <w:t xml:space="preserve"> </w:t>
      </w:r>
      <w:r>
        <w:t xml:space="preserve">Name the operating unit well enough that it is distinguishable from the model, harness, schedule, workflow, or tool currently used to run it.</w:t>
      </w:r>
    </w:p>
    <w:p>
      <w:pPr>
        <w:pStyle w:val="BodyText"/>
      </w:pPr>
      <w:r>
        <w:rPr>
          <w:b/>
          <w:bCs/>
        </w:rPr>
        <w:t xml:space="preserve">What one responsibility is being commissioned?</w:t>
      </w:r>
      <w:r>
        <w:t xml:space="preserve"> </w:t>
      </w:r>
      <w:r>
        <w:t xml:space="preserve">State the continuing outcome or invariant, not merely a list of tasks. Keep it narrow enough that its boundary can be observed.</w:t>
      </w:r>
    </w:p>
    <w:p>
      <w:pPr>
        <w:pStyle w:val="BodyText"/>
      </w:pPr>
      <w:r>
        <w:rPr>
          <w:b/>
          <w:bCs/>
        </w:rPr>
        <w:t xml:space="preserve">Who owns the result?</w:t>
      </w:r>
      <w:r>
        <w:t xml:space="preserve"> </w:t>
      </w:r>
      <w:r>
        <w:t xml:space="preserve">Name the human or organizational owner who can interpret the evidence, authorize consequential changes, and accept the responsibility for the decision.</w:t>
      </w:r>
    </w:p>
    <w:p>
      <w:pPr>
        <w:pStyle w:val="BodyText"/>
      </w:pPr>
      <w:r>
        <w:rPr>
          <w:b/>
          <w:bCs/>
        </w:rPr>
        <w:t xml:space="preserve">What is the worker allowed to do?</w:t>
      </w:r>
      <w:r>
        <w:t xml:space="preserve"> </w:t>
      </w:r>
      <w:r>
        <w:t xml:space="preserve">State the working boundary at the level needed for this responsibility: what it may read, produce, prepare, trigger, and hand off; what remains subject to approval; and what it must not attempt.</w:t>
      </w:r>
    </w:p>
    <w:p>
      <w:pPr>
        <w:pStyle w:val="BodyText"/>
      </w:pPr>
      <w:r>
        <w:rPr>
          <w:b/>
          <w:bCs/>
        </w:rPr>
        <w:t xml:space="preserve">What evidence will be reviewed?</w:t>
      </w:r>
      <w:r>
        <w:t xml:space="preserve"> </w:t>
      </w:r>
      <w:r>
        <w:t xml:space="preserve">A fluent completion statement is not enough. The evidence must help the owner judge whether the responsibility is being maintained, whether work stayed inside its boundary, and whether unresolved conditions are visible.</w:t>
      </w:r>
    </w:p>
    <w:p>
      <w:pPr>
        <w:pStyle w:val="BodyText"/>
      </w:pPr>
      <w:r>
        <w:rPr>
          <w:b/>
          <w:bCs/>
        </w:rPr>
        <w:t xml:space="preserve">What must happen when conditions change?</w:t>
      </w:r>
      <w:r>
        <w:t xml:space="preserve"> </w:t>
      </w:r>
      <w:r>
        <w:t xml:space="preserve">Name the expected handoffs, exceptions, and escalation points. If the responsibility cannot describe what happens when it meets a human-only decision, it has not yet described an operating boundary.</w:t>
      </w:r>
    </w:p>
    <w:p>
      <w:pPr>
        <w:pStyle w:val="BodyText"/>
      </w:pPr>
      <w:r>
        <w:rPr>
          <w:b/>
          <w:bCs/>
        </w:rPr>
        <w:t xml:space="preserve">What is the next disposition if the evidence is weak?</w:t>
      </w:r>
      <w:r>
        <w:t xml:space="preserve"> </w:t>
      </w:r>
      <w:r>
        <w:t xml:space="preserve">The answer need not be dramatic. The sponsor may narrow the scope, reduce authority, increase review, pause operation, redesign the responsibility, retire it, or refuse to commission it.</w:t>
      </w:r>
    </w:p>
    <w:p>
      <w:pPr>
        <w:pStyle w:val="BodyText"/>
      </w:pPr>
      <w:r>
        <w:t xml:space="preserve">These questions keep the fields separate. A commission can be strong on task outcome and weak on evidence integrity, clear on authority and unclear on continuity, or useful but too expensive in human attention to justify continuation. The sponsor needs enough separation to make an honest disposition.</w:t>
      </w:r>
    </w:p>
    <w:bookmarkEnd w:id="43"/>
    <w:bookmarkStart w:id="44" w:name="the-useful-negative-answers"/>
    <w:p>
      <w:pPr>
        <w:pStyle w:val="Heading2"/>
      </w:pPr>
      <w:r>
        <w:t xml:space="preserve">The useful negative answers</w:t>
      </w:r>
    </w:p>
    <w:p>
      <w:pPr>
        <w:pStyle w:val="FirstParagraph"/>
      </w:pPr>
      <w:r>
        <w:t xml:space="preserve">Commissioning should not be a binary contest between success and failure. It is a set of operating choices.</w:t>
      </w:r>
    </w:p>
    <w:p>
      <w:pPr>
        <w:pStyle w:val="BodyText"/>
      </w:pPr>
      <w:r>
        <w:rPr>
          <w:b/>
          <w:bCs/>
        </w:rPr>
        <w:t xml:space="preserve">Commission</w:t>
      </w:r>
      <w:r>
        <w:t xml:space="preserve"> </w:t>
      </w:r>
      <w:r>
        <w:t xml:space="preserve">when the worker, responsibility, owner, boundary, evidence, and stop path are clear enough for the proposed scope.</w:t>
      </w:r>
    </w:p>
    <w:p>
      <w:pPr>
        <w:pStyle w:val="BodyText"/>
      </w:pPr>
      <w:r>
        <w:rPr>
          <w:b/>
          <w:bCs/>
        </w:rPr>
        <w:t xml:space="preserve">Constrain</w:t>
      </w:r>
      <w:r>
        <w:t xml:space="preserve"> </w:t>
      </w:r>
      <w:r>
        <w:t xml:space="preserve">when useful work exists but the authority, cadence, handoffs, or scope should be narrower than the proposal assumed.</w:t>
      </w:r>
    </w:p>
    <w:p>
      <w:pPr>
        <w:pStyle w:val="BodyText"/>
      </w:pPr>
      <w:r>
        <w:rPr>
          <w:b/>
          <w:bCs/>
        </w:rPr>
        <w:t xml:space="preserve">Return for clarification</w:t>
      </w:r>
      <w:r>
        <w:t xml:space="preserve"> </w:t>
      </w:r>
      <w:r>
        <w:t xml:space="preserve">when the idea is promising but the commission cannot yet be named with sufficient precision.</w:t>
      </w:r>
    </w:p>
    <w:p>
      <w:pPr>
        <w:pStyle w:val="BodyText"/>
      </w:pPr>
      <w:r>
        <w:rPr>
          <w:b/>
          <w:bCs/>
        </w:rPr>
        <w:t xml:space="preserve">Pause</w:t>
      </w:r>
      <w:r>
        <w:t xml:space="preserve"> </w:t>
      </w:r>
      <w:r>
        <w:t xml:space="preserve">when the responsibility should not execute while a blocker, changed condition, or missing decision is resolved.</w:t>
      </w:r>
    </w:p>
    <w:p>
      <w:pPr>
        <w:pStyle w:val="BodyText"/>
      </w:pPr>
      <w:r>
        <w:rPr>
          <w:b/>
          <w:bCs/>
        </w:rPr>
        <w:t xml:space="preserve">Redesign</w:t>
      </w:r>
      <w:r>
        <w:t xml:space="preserve"> </w:t>
      </w:r>
      <w:r>
        <w:t xml:space="preserve">when the worker may be capable but the responsibility or contract is wrong.</w:t>
      </w:r>
    </w:p>
    <w:p>
      <w:pPr>
        <w:pStyle w:val="BodyText"/>
      </w:pPr>
      <w:r>
        <w:rPr>
          <w:b/>
          <w:bCs/>
        </w:rPr>
        <w:t xml:space="preserve">Retire</w:t>
      </w:r>
      <w:r>
        <w:t xml:space="preserve"> </w:t>
      </w:r>
      <w:r>
        <w:t xml:space="preserve">when the responsibility no longer belongs to this worker or should no longer exist in this form.</w:t>
      </w:r>
    </w:p>
    <w:p>
      <w:pPr>
        <w:pStyle w:val="BodyText"/>
      </w:pPr>
      <w:r>
        <w:rPr>
          <w:b/>
          <w:bCs/>
        </w:rPr>
        <w:t xml:space="preserve">Refuse</w:t>
      </w:r>
      <w:r>
        <w:t xml:space="preserve"> </w:t>
      </w:r>
      <w:r>
        <w:t xml:space="preserve">when the proposal cannot identify a real owner, a bounded responsibility, credible evidence, or a stop path.</w:t>
      </w:r>
    </w:p>
    <w:p>
      <w:pPr>
        <w:pStyle w:val="BodyText"/>
      </w:pPr>
      <w:r>
        <w:t xml:space="preserve">These are not euphemisms for avoiding progress. They are progress with a memory.</w:t>
      </w:r>
    </w:p>
    <w:p>
      <w:pPr>
        <w:pStyle w:val="BodyText"/>
      </w:pPr>
      <w:r>
        <w:t xml:space="preserve">A sponsor who refuses an unbounded proposal has protected the possibility of useful AI work by rejecting the idea that capability should silently become authority. A sponsor who pauses a worker may preserve its identity, evidence, and useful lessons while stopping execution under conditions that no longer fit.</w:t>
      </w:r>
    </w:p>
    <w:p>
      <w:pPr>
        <w:pStyle w:val="BodyText"/>
      </w:pPr>
      <w:r>
        <w:t xml:space="preserve">The disposition should say what changed and what would justify a different decision later. That keeps the organization from treating every pause as shameful, every pilot as destiny, and every new model release as a reason to forget what was learned.</w:t>
      </w:r>
    </w:p>
    <w:bookmarkEnd w:id="44"/>
    <w:bookmarkStart w:id="45" w:name="X3eeddef489a772a8a2116ba9d5bc029919d0ccc"/>
    <w:p>
      <w:pPr>
        <w:pStyle w:val="Heading2"/>
      </w:pPr>
      <w:r>
        <w:t xml:space="preserve">Responsibility is where continuity becomes visible</w:t>
      </w:r>
    </w:p>
    <w:p>
      <w:pPr>
        <w:pStyle w:val="FirstParagraph"/>
      </w:pPr>
      <w:r>
        <w:t xml:space="preserve">A task finishes. A responsibility persists through changed inputs, incomplete information, exceptions, handoffs, and human decisions.</w:t>
      </w:r>
    </w:p>
    <w:p>
      <w:pPr>
        <w:pStyle w:val="BodyText"/>
      </w:pPr>
      <w:r>
        <w:t xml:space="preserve">That persistence is why a good commission feels less like deploying a clever system and more like appointing a bounded operating unit. The language is useful only if it forces the organization to name the work, the owner, the evidence, and the limits. If it merely makes a model sound important, it has done no governance work at all.</w:t>
      </w:r>
    </w:p>
    <w:p>
      <w:pPr>
        <w:pStyle w:val="BodyText"/>
      </w:pPr>
      <w:r>
        <w:t xml:space="preserve">The sponsor does not need a universal maturity ladder, an autonomous-enterprise promise, or a new layer of machinery to make the first decision. The sponsor needs one named worker, one bounded ongoing responsibility, and the discipline to say no when the evidence supports only a smaller claim.</w:t>
      </w:r>
    </w:p>
    <w:p>
      <w:pPr>
        <w:pStyle w:val="BodyText"/>
      </w:pPr>
      <w:r>
        <w:t xml:space="preserve">Once that decision exists, another problem becomes unavoidable: the facts that support it do not all belong in one status field. Identity, responsibility, owner, authority, evidence, execution, and disposition can change for different reasons. A useful operating record must keep those differences visible.</w:t>
      </w:r>
    </w:p>
    <w:bookmarkEnd w:id="45"/>
    <w:bookmarkStart w:id="46" w:name="sources-and-evidence-notes-1"/>
    <w:p>
      <w:pPr>
        <w:pStyle w:val="Heading2"/>
      </w:pPr>
      <w:r>
        <w:t xml:space="preserve">Sources and evidence notes</w:t>
      </w:r>
    </w:p>
    <w:p>
      <w:pPr>
        <w:numPr>
          <w:ilvl w:val="0"/>
          <w:numId w:val="1005"/>
        </w:numPr>
      </w:pPr>
      <w:r>
        <w:rPr>
          <w:i/>
          <w:iCs/>
        </w:rPr>
        <w:t xml:space="preserve">The book’s internal planning repository</w:t>
      </w:r>
      <w:r>
        <w:t xml:space="preserve"> </w:t>
      </w:r>
      <w:r>
        <w:t xml:space="preserve">— Approved reader, governing question, bounded commissioning definition, human-accountability boundary, and three-book exclusions. The commissioning model is a book hypothesis, not an enterprise-wide result.</w:t>
      </w:r>
    </w:p>
    <w:p>
      <w:pPr>
        <w:numPr>
          <w:ilvl w:val="0"/>
          <w:numId w:val="1005"/>
        </w:numPr>
      </w:pPr>
      <w:r>
        <w:rPr>
          <w:i/>
          <w:iCs/>
        </w:rPr>
        <w:t xml:space="preserve">The book’s internal planning repository</w:t>
      </w:r>
      <w:r>
        <w:t xml:space="preserve"> </w:t>
      </w:r>
      <w:r>
        <w:t xml:space="preserve">— Thesis that capability informs rather than approves commissioning; counter-thesis; required commissioning dimensions; and the permitted negative dispositions. These are proposed operating doctrine, not externally proven law.</w:t>
      </w:r>
    </w:p>
    <w:p>
      <w:pPr>
        <w:numPr>
          <w:ilvl w:val="0"/>
          <w:numId w:val="1005"/>
        </w:numPr>
      </w:pPr>
      <w:r>
        <w:rPr>
          <w:i/>
          <w:iCs/>
        </w:rPr>
        <w:t xml:space="preserve">The book’s internal pre-draft specifications</w:t>
      </w:r>
      <w:r>
        <w:t xml:space="preserve"> </w:t>
      </w:r>
      <w:r>
        <w:t xml:space="preserve">— One-worker/one-responsibility unit of evaluation and the seven evidence dimensions. This is an operating hypothesis, not an external standard.</w:t>
      </w:r>
    </w:p>
    <w:p>
      <w:pPr>
        <w:numPr>
          <w:ilvl w:val="0"/>
          <w:numId w:val="1005"/>
        </w:numPr>
      </w:pPr>
      <w:r>
        <w:rPr>
          <w:i/>
          <w:iCs/>
        </w:rPr>
        <w:t xml:space="preserve">The book’s internal research ledger</w:t>
      </w:r>
      <w:r>
        <w:t xml:space="preserve"> </w:t>
      </w:r>
      <w:r>
        <w:t xml:space="preserve">(C04, C10, C13, C14) — Canonical scope for capability versus commissioning, Employee Zero’s bounded blocker, Revenue Director portability, and the OMP rejection.</w:t>
      </w:r>
    </w:p>
    <w:p>
      <w:pPr>
        <w:numPr>
          <w:ilvl w:val="0"/>
          <w:numId w:val="1005"/>
        </w:numPr>
      </w:pPr>
      <w:r>
        <w:rPr>
          <w:i/>
          <w:iCs/>
        </w:rPr>
        <w:t xml:space="preserve">The book’s internal research ledger</w:t>
      </w:r>
      <w:r>
        <w:t xml:space="preserve"> </w:t>
      </w:r>
      <w:r>
        <w:t xml:space="preserve">— Case limits: Revenue Director is one commercial lane; OMP was a specific data-migration pilot; Employee Zero is author-run local evidence. It also identifies autonomy mechanics and Business Growth strategy as predecessor boundaries.</w:t>
      </w:r>
    </w:p>
    <w:p>
      <w:pPr>
        <w:numPr>
          <w:ilvl w:val="0"/>
          <w:numId w:val="1005"/>
        </w:numPr>
      </w:pPr>
      <w:r>
        <w:rPr>
          <w:i/>
          <w:iCs/>
        </w:rPr>
        <w:t xml:space="preserve">The book’s internal research ledger</w:t>
      </w:r>
      <w:r>
        <w:t xml:space="preserve"> </w:t>
      </w:r>
      <w:r>
        <w:t xml:space="preserve">— Permitted scoped wording for continuous responsibility, reversible dispositions, proportional evidence, and the rejection of a universal maturity ladder.</w:t>
      </w:r>
    </w:p>
    <w:p>
      <w:pPr>
        <w:numPr>
          <w:ilvl w:val="0"/>
          <w:numId w:val="1005"/>
        </w:numPr>
      </w:pPr>
      <w:r>
        <w:rPr>
          <w:i/>
          <w:iCs/>
        </w:rPr>
        <w:t xml:space="preserve">The author’s operating decision log</w:t>
      </w:r>
      <w:r>
        <w:t xml:space="preserve"> </w:t>
      </w:r>
      <w:r>
        <w:t xml:space="preserve">(D14) — Employee Zero: three repairable mission/configuration defects were verified through actual governed runs; an expired OAuth session required Lee’s interactive authentication.</w:t>
      </w:r>
    </w:p>
    <w:p>
      <w:pPr>
        <w:numPr>
          <w:ilvl w:val="0"/>
          <w:numId w:val="1005"/>
        </w:numPr>
      </w:pPr>
      <w:r>
        <w:rPr>
          <w:i/>
          <w:iCs/>
        </w:rPr>
        <w:t xml:space="preserve">The author’s operating decision log</w:t>
      </w:r>
      <w:r>
        <w:t xml:space="preserve"> </w:t>
      </w:r>
      <w:r>
        <w:t xml:space="preserve">(D20–D22) — Revenue Director: identity separated from harness; bounded delegation and continuous commercial operating contract; no external communications or existing-record mutations in the cited assignment.</w:t>
      </w:r>
    </w:p>
    <w:p>
      <w:pPr>
        <w:numPr>
          <w:ilvl w:val="0"/>
          <w:numId w:val="1005"/>
        </w:numPr>
      </w:pPr>
      <w:r>
        <w:rPr>
          <w:i/>
          <w:iCs/>
        </w:rPr>
        <w:t xml:space="preserve">The author’s operating decision log</w:t>
      </w:r>
      <w:r>
        <w:t xml:space="preserve"> </w:t>
      </w:r>
      <w:r>
        <w:t xml:space="preserve">(D27) — OMP pilot rejection: first-pass acceptance of 1/6 versus 8/28 baseline; evidence preserved, temporary route reverted, mission paused.</w:t>
      </w:r>
    </w:p>
    <w:p>
      <w:r>
        <w:pict>
          <v:rect style="width:0;height:1.5pt" o:hralign="center" o:hrstd="t" o:hr="t"/>
        </w:pict>
      </w:r>
    </w:p>
    <w:bookmarkEnd w:id="46"/>
    <w:bookmarkEnd w:id="47"/>
    <w:bookmarkStart w:id="55" w:name="chapter-3-separate-the-record"/>
    <w:p>
      <w:pPr>
        <w:pStyle w:val="Heading1"/>
      </w:pPr>
      <w:r>
        <w:t xml:space="preserve">Chapter 3 — Separate the Record</w:t>
      </w:r>
    </w:p>
    <w:p>
      <w:pPr>
        <w:pStyle w:val="FirstParagraph"/>
      </w:pPr>
      <w:r>
        <w:t xml:space="preserve">The commissioning question asks whether a named digital worker should own an ongoing responsibility now, under a named owner, authority, evidence bar, lifecycle, evaluation, and stop path. That question cannot be answered by asking whether the worker is</w:t>
      </w:r>
      <w:r>
        <w:t xml:space="preserve"> </w:t>
      </w:r>
      <w:r>
        <w:t xml:space="preserve">“</w:t>
      </w:r>
      <w:r>
        <w:t xml:space="preserve">good,</w:t>
      </w:r>
      <w:r>
        <w:t xml:space="preserve">”</w:t>
      </w:r>
      <w:r>
        <w:t xml:space="preserve"> </w:t>
      </w:r>
      <w:r>
        <w:t xml:space="preserve">“</w:t>
      </w:r>
      <w:r>
        <w:t xml:space="preserve">live,</w:t>
      </w:r>
      <w:r>
        <w:t xml:space="preserve">”</w:t>
      </w:r>
      <w:r>
        <w:t xml:space="preserve"> </w:t>
      </w:r>
      <w:r>
        <w:t xml:space="preserve">“</w:t>
      </w:r>
      <w:r>
        <w:t xml:space="preserve">mature,</w:t>
      </w:r>
      <w:r>
        <w:t xml:space="preserve">”</w:t>
      </w:r>
      <w:r>
        <w:t xml:space="preserve"> </w:t>
      </w:r>
      <w:r>
        <w:t xml:space="preserve">or</w:t>
      </w:r>
      <w:r>
        <w:t xml:space="preserve"> </w:t>
      </w:r>
      <w:r>
        <w:t xml:space="preserve">“</w:t>
      </w:r>
      <w:r>
        <w:t xml:space="preserve">ready.</w:t>
      </w:r>
      <w:r>
        <w:t xml:space="preserve">”</w:t>
      </w:r>
      <w:r>
        <w:t xml:space="preserve"> </w:t>
      </w:r>
      <w:r>
        <w:t xml:space="preserve">Those words compress too much. They encourage the sponsor to treat capability, operation, approval, and portfolio intent as if they rise and fall together.</w:t>
      </w:r>
    </w:p>
    <w:p>
      <w:pPr>
        <w:pStyle w:val="BodyText"/>
      </w:pPr>
      <w:r>
        <w:t xml:space="preserve">They do not.</w:t>
      </w:r>
    </w:p>
    <w:p>
      <w:pPr>
        <w:pStyle w:val="BodyText"/>
      </w:pPr>
      <w:r>
        <w:t xml:space="preserve">This chapter proposes a simpler discipline: keep the decision dimensions separate. Give each one a home, an owner, and a way to change without quietly rewriting the others. Call the result an orthogonal commissioning record.</w:t>
      </w:r>
    </w:p>
    <w:p>
      <w:pPr>
        <w:pStyle w:val="BodyText"/>
      </w:pPr>
      <w:r>
        <w:t xml:space="preserve">This is a practitioner hypothesis. Enterprise transfer is untested. If a simpler record can reliably preserve authority, evidence, lifecycle, runtime truth, and portfolio intent without separating them, use the simpler record. But do not accept simplicity that works only by hiding the disagreement you will eventually need to resolve.</w:t>
      </w:r>
    </w:p>
    <w:bookmarkStart w:id="48" w:name="the-problem-with-one-status"/>
    <w:p>
      <w:pPr>
        <w:pStyle w:val="Heading2"/>
      </w:pPr>
      <w:r>
        <w:t xml:space="preserve">The problem with one status</w:t>
      </w:r>
    </w:p>
    <w:p>
      <w:pPr>
        <w:pStyle w:val="FirstParagraph"/>
      </w:pPr>
      <w:r>
        <w:t xml:space="preserve">Consider a worker whose latest run completed successfully. That is useful runtime information. It does not tell a sponsor whether the worker still has authority to act, whether its responsibility remains relevant, whether the evidence from that run meets the continuation bar, or whether the initiative should receive more operating capacity.</w:t>
      </w:r>
    </w:p>
    <w:p>
      <w:pPr>
        <w:pStyle w:val="BodyText"/>
      </w:pPr>
      <w:r>
        <w:t xml:space="preserve">Likewise, consider a worker marked paused. That might mean a temporary execution stop, a deliberate portfolio decision to preserve the project, or a terminal retirement of the identity. These are different situations with different next actions.</w:t>
      </w:r>
    </w:p>
    <w:p>
      <w:pPr>
        <w:pStyle w:val="BodyText"/>
      </w:pPr>
      <w:r>
        <w:t xml:space="preserve">The temptation is to solve this with a longer enum:</w:t>
      </w:r>
      <w:r>
        <w:t xml:space="preserve"> </w:t>
      </w:r>
      <w:r>
        <w:rPr>
          <w:rStyle w:val="VerbatimChar"/>
        </w:rPr>
        <w:t xml:space="preserve">active</w:t>
      </w:r>
      <w:r>
        <w:t xml:space="preserve">,</w:t>
      </w:r>
      <w:r>
        <w:t xml:space="preserve"> </w:t>
      </w:r>
      <w:r>
        <w:rPr>
          <w:rStyle w:val="VerbatimChar"/>
        </w:rPr>
        <w:t xml:space="preserve">active-but-paused</w:t>
      </w:r>
      <w:r>
        <w:t xml:space="preserve">,</w:t>
      </w:r>
      <w:r>
        <w:t xml:space="preserve"> </w:t>
      </w:r>
      <w:r>
        <w:rPr>
          <w:rStyle w:val="VerbatimChar"/>
        </w:rPr>
        <w:t xml:space="preserve">active-but-not-approved</w:t>
      </w:r>
      <w:r>
        <w:t xml:space="preserve">,</w:t>
      </w:r>
      <w:r>
        <w:t xml:space="preserve"> </w:t>
      </w:r>
      <w:r>
        <w:rPr>
          <w:rStyle w:val="VerbatimChar"/>
        </w:rPr>
        <w:t xml:space="preserve">retired-but-preserved</w:t>
      </w:r>
      <w:r>
        <w:t xml:space="preserve">, and eventually</w:t>
      </w:r>
      <w:r>
        <w:t xml:space="preserve"> </w:t>
      </w:r>
      <w:r>
        <w:rPr>
          <w:rStyle w:val="VerbatimChar"/>
        </w:rPr>
        <w:t xml:space="preserve">active-but-paused-but-valuable</w:t>
      </w:r>
      <w:r>
        <w:t xml:space="preserve">. That is not a model. It is a filing cabinet trying to become a sentence.</w:t>
      </w:r>
    </w:p>
    <w:p>
      <w:pPr>
        <w:pStyle w:val="BodyText"/>
      </w:pPr>
      <w:r>
        <w:t xml:space="preserve">My estate supplied a concrete reason not to take that path. Its control-plane remediation made an important restraint explicit: absence of a record should remain unclassified, not become inferred intent. A missing schedule is not proof that the sponsor retired the work. A stale file is not proof that the worker lost authority. A quiet runtime is not proof that the responsibility disappeared.</w:t>
      </w:r>
    </w:p>
    <w:p>
      <w:pPr>
        <w:pStyle w:val="BodyText"/>
      </w:pPr>
      <w:r>
        <w:t xml:space="preserve">That restraint matters because operating systems accumulate history. They contain work that predates the current schema, incomplete migrations, manual interventions, interrupted runs, and decisions made outside the interface currently being inspected. The record must make uncertainty visible enough that a human owner can resolve it. It must not manufacture a clean story for the sake of a clean dashboard.</w:t>
      </w:r>
    </w:p>
    <w:bookmarkEnd w:id="48"/>
    <w:bookmarkStart w:id="49" w:name="Xf8f27bc1bebb332f253caedf8ddc4277b413b69"/>
    <w:p>
      <w:pPr>
        <w:pStyle w:val="Heading2"/>
      </w:pPr>
      <w:r>
        <w:t xml:space="preserve">The record is a set of questions, not a score</w:t>
      </w:r>
    </w:p>
    <w:p>
      <w:pPr>
        <w:pStyle w:val="FirstParagraph"/>
      </w:pPr>
      <w:r>
        <w:t xml:space="preserve">An orthogonal commissioning record does not begin with fields. It begins with questions that should not answer one another by accident.</w:t>
      </w:r>
    </w:p>
    <w:p>
      <w:pPr>
        <w:pStyle w:val="BodyText"/>
      </w:pPr>
      <w:r>
        <w:t xml:space="preserve">For each named worker and ongoing responsibility, the sponsor should be able to locate at least eight kinds of truth.</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Dimension</w:t>
            </w:r>
          </w:p>
        </w:tc>
        <w:tc>
          <w:tcPr/>
          <w:p>
            <w:pPr>
              <w:pStyle w:val="Compact"/>
              <w:jc w:val="left"/>
            </w:pPr>
            <w:r>
              <w:t xml:space="preserve">The question it answers</w:t>
            </w:r>
          </w:p>
        </w:tc>
        <w:tc>
          <w:tcPr/>
          <w:p>
            <w:pPr>
              <w:pStyle w:val="Compact"/>
              <w:jc w:val="left"/>
            </w:pPr>
            <w:r>
              <w:t xml:space="preserve">What it must not silently answer</w:t>
            </w:r>
          </w:p>
        </w:tc>
      </w:tr>
      <w:tr>
        <w:tc>
          <w:tcPr/>
          <w:p>
            <w:pPr>
              <w:pStyle w:val="Compact"/>
              <w:jc w:val="left"/>
            </w:pPr>
            <w:r>
              <w:t xml:space="preserve">Identity and responsibility</w:t>
            </w:r>
          </w:p>
        </w:tc>
        <w:tc>
          <w:tcPr/>
          <w:p>
            <w:pPr>
              <w:pStyle w:val="Compact"/>
              <w:jc w:val="left"/>
            </w:pPr>
            <w:r>
              <w:t xml:space="preserve">What stable operating unit is this, and what ongoing responsibility is in scope?</w:t>
            </w:r>
          </w:p>
        </w:tc>
        <w:tc>
          <w:tcPr/>
          <w:p>
            <w:pPr>
              <w:pStyle w:val="Compact"/>
              <w:jc w:val="left"/>
            </w:pPr>
            <w:r>
              <w:t xml:space="preserve">Whether its current runtime is healthy or approved</w:t>
            </w:r>
          </w:p>
        </w:tc>
      </w:tr>
      <w:tr>
        <w:tc>
          <w:tcPr/>
          <w:p>
            <w:pPr>
              <w:pStyle w:val="Compact"/>
              <w:jc w:val="left"/>
            </w:pPr>
            <w:r>
              <w:t xml:space="preserve">Owner and authority</w:t>
            </w:r>
          </w:p>
        </w:tc>
        <w:tc>
          <w:tcPr/>
          <w:p>
            <w:pPr>
              <w:pStyle w:val="Compact"/>
              <w:jc w:val="left"/>
            </w:pPr>
            <w:r>
              <w:t xml:space="preserve">Who is accountable, and what action may the worker take under whose authorization?</w:t>
            </w:r>
          </w:p>
        </w:tc>
        <w:tc>
          <w:tcPr/>
          <w:p>
            <w:pPr>
              <w:pStyle w:val="Compact"/>
              <w:jc w:val="left"/>
            </w:pPr>
            <w:r>
              <w:t xml:space="preserve">Whether a tool can technically perform the action</w:t>
            </w:r>
          </w:p>
        </w:tc>
      </w:tr>
      <w:tr>
        <w:tc>
          <w:tcPr/>
          <w:p>
            <w:pPr>
              <w:pStyle w:val="Compact"/>
              <w:jc w:val="left"/>
            </w:pPr>
            <w:r>
              <w:t xml:space="preserve">Identity lifecycle</w:t>
            </w:r>
          </w:p>
        </w:tc>
        <w:tc>
          <w:tcPr/>
          <w:p>
            <w:pPr>
              <w:pStyle w:val="Compact"/>
              <w:jc w:val="left"/>
            </w:pPr>
            <w:r>
              <w:t xml:space="preserve">What is the standing of the worker’s identity over time?</w:t>
            </w:r>
          </w:p>
        </w:tc>
        <w:tc>
          <w:tcPr/>
          <w:p>
            <w:pPr>
              <w:pStyle w:val="Compact"/>
              <w:jc w:val="left"/>
            </w:pPr>
            <w:r>
              <w:t xml:space="preserve">Whether a specific project should continue</w:t>
            </w:r>
          </w:p>
        </w:tc>
      </w:tr>
      <w:tr>
        <w:tc>
          <w:tcPr/>
          <w:p>
            <w:pPr>
              <w:pStyle w:val="Compact"/>
              <w:jc w:val="left"/>
            </w:pPr>
            <w:r>
              <w:t xml:space="preserve">Execution policy and binding</w:t>
            </w:r>
          </w:p>
        </w:tc>
        <w:tc>
          <w:tcPr/>
          <w:p>
            <w:pPr>
              <w:pStyle w:val="Compact"/>
              <w:jc w:val="left"/>
            </w:pPr>
            <w:r>
              <w:t xml:space="preserve">How may this work execute now, and through what current implementation binding?</w:t>
            </w:r>
          </w:p>
        </w:tc>
        <w:tc>
          <w:tcPr/>
          <w:p>
            <w:pPr>
              <w:pStyle w:val="Compact"/>
              <w:jc w:val="left"/>
            </w:pPr>
            <w:r>
              <w:t xml:space="preserve">Whether the role itself still exists</w:t>
            </w:r>
          </w:p>
        </w:tc>
      </w:tr>
      <w:tr>
        <w:tc>
          <w:tcPr/>
          <w:p>
            <w:pPr>
              <w:pStyle w:val="Compact"/>
              <w:jc w:val="left"/>
            </w:pPr>
            <w:r>
              <w:t xml:space="preserve">Portfolio disposition</w:t>
            </w:r>
          </w:p>
        </w:tc>
        <w:tc>
          <w:tcPr/>
          <w:p>
            <w:pPr>
              <w:pStyle w:val="Compact"/>
              <w:jc w:val="left"/>
            </w:pPr>
            <w:r>
              <w:t xml:space="preserve">What does the sponsor intend to do with this work: pursue, preserve, park, replace, or end it?</w:t>
            </w:r>
          </w:p>
        </w:tc>
        <w:tc>
          <w:tcPr/>
          <w:p>
            <w:pPr>
              <w:pStyle w:val="Compact"/>
              <w:jc w:val="left"/>
            </w:pPr>
            <w:r>
              <w:t xml:space="preserve">Whether a process is currently running</w:t>
            </w:r>
          </w:p>
        </w:tc>
      </w:tr>
      <w:tr>
        <w:tc>
          <w:tcPr/>
          <w:p>
            <w:pPr>
              <w:pStyle w:val="Compact"/>
              <w:jc w:val="left"/>
            </w:pPr>
            <w:r>
              <w:t xml:space="preserve">Runtime truth</w:t>
            </w:r>
          </w:p>
        </w:tc>
        <w:tc>
          <w:tcPr/>
          <w:p>
            <w:pPr>
              <w:pStyle w:val="Compact"/>
              <w:jc w:val="left"/>
            </w:pPr>
            <w:r>
              <w:t xml:space="preserve">What is happening now in the operating system: health, schedule, current run, approval, freshness, and failure state?</w:t>
            </w:r>
          </w:p>
        </w:tc>
        <w:tc>
          <w:tcPr/>
          <w:p>
            <w:pPr>
              <w:pStyle w:val="Compact"/>
              <w:jc w:val="left"/>
            </w:pPr>
            <w:r>
              <w:t xml:space="preserve">What the sponsor intended</w:t>
            </w:r>
          </w:p>
        </w:tc>
      </w:tr>
      <w:tr>
        <w:tc>
          <w:tcPr/>
          <w:p>
            <w:pPr>
              <w:pStyle w:val="Compact"/>
              <w:jc w:val="left"/>
            </w:pPr>
            <w:r>
              <w:t xml:space="preserve">Governance and evaluation</w:t>
            </w:r>
          </w:p>
        </w:tc>
        <w:tc>
          <w:tcPr/>
          <w:p>
            <w:pPr>
              <w:pStyle w:val="Compact"/>
              <w:jc w:val="left"/>
            </w:pPr>
            <w:r>
              <w:t xml:space="preserve">What evidence supports continuation, constraint, redesign, or retirement, and who reviews it?</w:t>
            </w:r>
          </w:p>
        </w:tc>
        <w:tc>
          <w:tcPr/>
          <w:p>
            <w:pPr>
              <w:pStyle w:val="Compact"/>
              <w:jc w:val="left"/>
            </w:pPr>
            <w:r>
              <w:t xml:space="preserve">Whether one successful output settles the commission</w:t>
            </w:r>
          </w:p>
        </w:tc>
      </w:tr>
      <w:tr>
        <w:tc>
          <w:tcPr/>
          <w:p>
            <w:pPr>
              <w:pStyle w:val="Compact"/>
              <w:jc w:val="left"/>
            </w:pPr>
            <w:r>
              <w:t xml:space="preserve">Operating capacity</w:t>
            </w:r>
          </w:p>
        </w:tc>
        <w:tc>
          <w:tcPr/>
          <w:p>
            <w:pPr>
              <w:pStyle w:val="Compact"/>
              <w:jc w:val="left"/>
            </w:pPr>
            <w:r>
              <w:t xml:space="preserve">What attention, spend, tooling, review effort, or route capacity is available for the work?</w:t>
            </w:r>
          </w:p>
        </w:tc>
        <w:tc>
          <w:tcPr/>
          <w:p>
            <w:pPr>
              <w:pStyle w:val="Compact"/>
              <w:jc w:val="left"/>
            </w:pPr>
            <w:r>
              <w:t xml:space="preserve">Where an enterprise should reinvest AI-created capacity</w:t>
            </w:r>
          </w:p>
        </w:tc>
      </w:tr>
    </w:tbl>
    <w:p>
      <w:pPr>
        <w:pStyle w:val="BodyText"/>
      </w:pPr>
      <w:r>
        <w:t xml:space="preserve">The first distinction is identity and responsibility. A worker is not a model name, a schedule, a repository, or an orchestration framework. Those may all change. The responsibility is the continuing work the organization has chosen to assign: maintaining a commercial system, preparing a recurring briefing, reviewing a bounded class of requests, or another named operating obligation.</w:t>
      </w:r>
    </w:p>
    <w:p>
      <w:pPr>
        <w:pStyle w:val="BodyText"/>
      </w:pPr>
      <w:r>
        <w:t xml:space="preserve">In my estate, the Revenue Director case tested the separation between an employee identity and its harness. The decision record defined the employee through durable identity, charter, responsibilities, outcomes, authority boundaries, accumulated context, approved learning, and management direction. It specifically rejected the idea that the identity was defined by a particular runner, schedule, daemon, or tool.</w:t>
      </w:r>
    </w:p>
    <w:p>
      <w:pPr>
        <w:pStyle w:val="BodyText"/>
      </w:pPr>
      <w:r>
        <w:t xml:space="preserve">The owner-and-authority dimension asks a different question: who is accountable for the responsibility, and what action is authorized? The owner may be a named executive, manager, team, or organization, depending on the operating design. The worker can execute, propose, inspect, or prepare evidence. It does not become the accountable party by receiving an employee-like name.</w:t>
      </w:r>
    </w:p>
    <w:p>
      <w:pPr>
        <w:pStyle w:val="BodyText"/>
      </w:pPr>
      <w:r>
        <w:t xml:space="preserve">Authority must remain distinct from technical access. A tool may expose an action that has not been authorized. A source grant may exist while no approved transport path can release the evidence safely. A reviewer may be able to see a result without being authorized to change the underlying work. Those distinctions belong in the record because they determine whether the next action is a technical repair, an authority decision, an escalation, or a refusal.</w:t>
      </w:r>
    </w:p>
    <w:p>
      <w:pPr>
        <w:pStyle w:val="BodyText"/>
      </w:pPr>
      <w:r>
        <w:t xml:space="preserve">Identity lifecycle answers what has happened to the worker as an operating unit. Has the identity been drafted, commissioned, paused, retired, or archived under the organization’s own contract? A retirement decision should be durable enough that a casual</w:t>
      </w:r>
      <w:r>
        <w:t xml:space="preserve"> </w:t>
      </w:r>
      <w:r>
        <w:t xml:space="preserve">“</w:t>
      </w:r>
      <w:r>
        <w:t xml:space="preserve">resume</w:t>
      </w:r>
      <w:r>
        <w:t xml:space="preserve">”</w:t>
      </w:r>
      <w:r>
        <w:t xml:space="preserve"> </w:t>
      </w:r>
      <w:r>
        <w:t xml:space="preserve">command cannot reopen it by mistake. If an organization wants a new version of that work later, it may need a new identity or an explicit versioned commissioning decision.</w:t>
      </w:r>
    </w:p>
    <w:p>
      <w:pPr>
        <w:pStyle w:val="BodyText"/>
      </w:pPr>
      <w:r>
        <w:t xml:space="preserve">That is separate from portfolio disposition. Portfolio disposition asks what the sponsor wants to do with the project, responsibility, or capability. Is it actively pursued? Parked for later? Retired because the purpose ended? Superseded by another capability? Preserved because its evidence or outputs remain useful? A project can be retired while its artifacts remain valuable. A capability can be superseded without erasing the identity, history, or other responsibilities of the worker associated with it.</w:t>
      </w:r>
    </w:p>
    <w:p>
      <w:pPr>
        <w:pStyle w:val="BodyText"/>
      </w:pPr>
      <w:r>
        <w:t xml:space="preserve">The distinction becomes concrete in the remediation plan’s treatment of Employee Zero. The plan describes a preserved paused identity while the user-facing briefing capability is superseded by the Chief. That is not deletion. It is also not a claim that every responsibility held by Employee Zero has disappeared. The record preserves the relationship between the old and new capability without pretending that a single word—paused, retired, or replaced—captures all of it.</w:t>
      </w:r>
    </w:p>
    <w:p>
      <w:pPr>
        <w:pStyle w:val="BodyText"/>
      </w:pPr>
      <w:r>
        <w:t xml:space="preserve">Execution policy and binding concern how work may run now. A worker might be permitted to operate unattended, only under supervision, manually, or not at all until an explicit reactivation. Its current binding might be a particular harness, routing policy, schedule, or service. These facts change more often than identity and should be expected to change. A runtime migration is not necessarily a role redesign. Disabling a schedule is not necessarily a retirement. Moving a worker to supervised execution is not necessarily evidence that its responsibility was invalid.</w:t>
      </w:r>
    </w:p>
    <w:p>
      <w:pPr>
        <w:pStyle w:val="BodyText"/>
      </w:pPr>
      <w:r>
        <w:t xml:space="preserve">Runtime truth is the least patient of these dimensions. It asks what is happening now: Is there an active run? Is a required approval waiting? Is the schedule present? Is the latest evidence fresh? Did a health check fail? Is an observed record malformed or unresolved? Runtime truth should be owned by the system that can actually observe it. A sponsor needs a reconciliation view, but a reporting surface must not substitute its own guesses for owner-native state.</w:t>
      </w:r>
    </w:p>
    <w:p>
      <w:pPr>
        <w:pStyle w:val="BodyText"/>
      </w:pPr>
      <w:r>
        <w:t xml:space="preserve">Governance and evaluation add the decision context. What evidence supports continuation? What evidence would trigger constraint, pause, redesign, or retirement? Who is expected to review it? What uncertainty remains? A completed task may demonstrate one bounded capability. It does not, by itself, demonstrate that the worker should continue to own an ongoing responsibility. That judgment requires evidence over time, a named review path, and a way to see the gaps.</w:t>
      </w:r>
    </w:p>
    <w:p>
      <w:pPr>
        <w:pStyle w:val="BodyText"/>
      </w:pPr>
      <w:r>
        <w:t xml:space="preserve">Finally, operating capacity asks whether the organization can run the commission responsibly. That includes available review attention, supported routes, budget or subscription constraints, tooling capacity, and the ability to sustain the evidence and approval burden. It does not answer where the enterprise should invest capacity created by AI. That is a different business-growth decision. Here, capacity is an operating constraint on whether this responsibility can be supported now.</w:t>
      </w:r>
    </w:p>
    <w:p>
      <w:pPr>
        <w:pStyle w:val="BodyText"/>
      </w:pPr>
      <w:r>
        <w:t xml:space="preserve">The eight dimensions are related. They should not be merged.</w:t>
      </w:r>
    </w:p>
    <w:bookmarkEnd w:id="49"/>
    <w:bookmarkStart w:id="50" w:name="X57c1b0ea64aa70bc0744f9eceb623f28b459be1"/>
    <w:p>
      <w:pPr>
        <w:pStyle w:val="Heading2"/>
      </w:pPr>
      <w:r>
        <w:t xml:space="preserve">A record earns its complexity by preserving reversibility</w:t>
      </w:r>
    </w:p>
    <w:p>
      <w:pPr>
        <w:pStyle w:val="FirstParagraph"/>
      </w:pPr>
      <w:r>
        <w:t xml:space="preserve">The goal is not to make every commission ceremonious. The goal is to make consequential changes reversible and attributable.</w:t>
      </w:r>
    </w:p>
    <w:p>
      <w:pPr>
        <w:pStyle w:val="BodyText"/>
      </w:pPr>
      <w:r>
        <w:t xml:space="preserve">Suppose a sponsor discovers that a worker’s execution route is too expensive or too constrained to sustain. The correct change might be to alter capacity policy or execution policy. The responsibility, owner, and identity may remain intact. If the record has one status, the team may mark the worker</w:t>
      </w:r>
      <w:r>
        <w:t xml:space="preserve"> </w:t>
      </w:r>
      <w:r>
        <w:t xml:space="preserve">“</w:t>
      </w:r>
      <w:r>
        <w:t xml:space="preserve">inactive</w:t>
      </w:r>
      <w:r>
        <w:t xml:space="preserve">”</w:t>
      </w:r>
      <w:r>
        <w:t xml:space="preserve"> </w:t>
      </w:r>
      <w:r>
        <w:t xml:space="preserve">and lose the reason for the decision.</w:t>
      </w:r>
    </w:p>
    <w:p>
      <w:pPr>
        <w:pStyle w:val="BodyText"/>
      </w:pPr>
      <w:r>
        <w:t xml:space="preserve">Suppose a worker has healthy runtime signals but has not produced the evidence needed for continued stewardship. The correct disposition might be to continue operating under a constraint, require a review, or pause the commission. Marking the worker</w:t>
      </w:r>
      <w:r>
        <w:t xml:space="preserve"> </w:t>
      </w:r>
      <w:r>
        <w:t xml:space="preserve">“</w:t>
      </w:r>
      <w:r>
        <w:t xml:space="preserve">healthy</w:t>
      </w:r>
      <w:r>
        <w:t xml:space="preserve">”</w:t>
      </w:r>
      <w:r>
        <w:t xml:space="preserve"> </w:t>
      </w:r>
      <w:r>
        <w:t xml:space="preserve">does not answer the sponsor’s question.</w:t>
      </w:r>
    </w:p>
    <w:p>
      <w:pPr>
        <w:pStyle w:val="BodyText"/>
      </w:pPr>
      <w:r>
        <w:t xml:space="preserve">Suppose a project has reached the end of its purpose while preserving valuable artifacts. The correct disposition might be retirement with evidence retention. Deleting the artifacts removes the receipts needed to understand what was tried. Treating the project as merely dormant leaves an unearned path to restart it. A record with separate disposition, identity, execution, and evidence fields can express the decision without inventing a new status phrase.</w:t>
      </w:r>
    </w:p>
    <w:p>
      <w:pPr>
        <w:pStyle w:val="BodyText"/>
      </w:pPr>
      <w:r>
        <w:t xml:space="preserve">This is why reversibility is a record-design problem as much as a governance preference. A reversible decision needs to state what changed, who authorized it, what remains preserved, what action is prohibited, and what would be required to revisit the decision. If those facts sit in one broad status field, the next operator has to reconstruct them from surrounding prose, dashboard color, and institutional memory.</w:t>
      </w:r>
    </w:p>
    <w:p>
      <w:pPr>
        <w:pStyle w:val="BodyText"/>
      </w:pPr>
      <w:r>
        <w:t xml:space="preserve">That is not accountability. It is archaeology.</w:t>
      </w:r>
    </w:p>
    <w:p>
      <w:pPr>
        <w:pStyle w:val="BodyText"/>
      </w:pPr>
      <w:r>
        <w:t xml:space="preserve">The record should therefore preserve transitions as decisions, not merely overwrite current state. When a portfolio disposition changes, capture the authorizing owner, reason, evidence, date, and relevant relationship to a replacement or preserved asset. When execution policy changes, retain the authority and condition that caused the change. When runtime truth changes, preserve the observed evidence without allowing it to rewrite portfolio intent. When a responsibility changes, make the changed scope explicit rather than quietly treating the old charter as current.</w:t>
      </w:r>
    </w:p>
    <w:p>
      <w:pPr>
        <w:pStyle w:val="BodyText"/>
      </w:pPr>
      <w:r>
        <w:t xml:space="preserve">The implementation can be modest. A structured proposal, a repository-native record, a domain system with carefully chosen fields, or an internal operating register may be sufficient. The book does not require a graph database, a central control plane, or a universal schema. It requires that the organization avoid using one field to answer eight questions.</w:t>
      </w:r>
    </w:p>
    <w:bookmarkEnd w:id="50"/>
    <w:bookmarkStart w:id="51" w:name="why-a-ladder-fails"/>
    <w:p>
      <w:pPr>
        <w:pStyle w:val="Heading2"/>
      </w:pPr>
      <w:r>
        <w:t xml:space="preserve">Why a ladder fails</w:t>
      </w:r>
    </w:p>
    <w:p>
      <w:pPr>
        <w:pStyle w:val="FirstParagraph"/>
      </w:pPr>
      <w:r>
        <w:t xml:space="preserve">A maturity ladder is attractive because it offers a clean story: workers move upward from simple automation toward greater autonomy, and the enterprise moves with them. That picture may be easy to present. It is not a reliable decision record.</w:t>
      </w:r>
    </w:p>
    <w:p>
      <w:pPr>
        <w:pStyle w:val="BodyText"/>
      </w:pPr>
      <w:r>
        <w:t xml:space="preserve">A ladder assumes that the relevant dimensions move together. More capable execution is treated as more mature. More autonomy is treated as more advanced. A worker with a broader scope, more connected tools, a healthier runtime, and a longer history is treated as farther along.</w:t>
      </w:r>
    </w:p>
    <w:p>
      <w:pPr>
        <w:pStyle w:val="BodyText"/>
      </w:pPr>
      <w:r>
        <w:t xml:space="preserve">But a more autonomous execution policy can be a reason for tighter authority and stronger evidence requirements. A healthy runtime can coexist with a poor portfolio disposition. A long-lived identity can be intentionally parked. A technically capable worker can be refused a commission because ownership or evaluation is inadequate. A capacity constraint can cause a route change without reducing the worker’s responsibility or value.</w:t>
      </w:r>
    </w:p>
    <w:p>
      <w:pPr>
        <w:pStyle w:val="BodyText"/>
      </w:pPr>
      <w:r>
        <w:t xml:space="preserve">The ladder turns these different judgments into a single direction: up or down. That pressures the sponsor to interpret</w:t>
      </w:r>
      <w:r>
        <w:t xml:space="preserve"> </w:t>
      </w:r>
      <w:r>
        <w:t xml:space="preserve">“</w:t>
      </w:r>
      <w:r>
        <w:t xml:space="preserve">more autonomous</w:t>
      </w:r>
      <w:r>
        <w:t xml:space="preserve">”</w:t>
      </w:r>
      <w:r>
        <w:t xml:space="preserve"> </w:t>
      </w:r>
      <w:r>
        <w:t xml:space="preserve">as</w:t>
      </w:r>
      <w:r>
        <w:t xml:space="preserve"> </w:t>
      </w:r>
      <w:r>
        <w:t xml:space="preserve">“</w:t>
      </w:r>
      <w:r>
        <w:t xml:space="preserve">better</w:t>
      </w:r>
      <w:r>
        <w:t xml:space="preserve">”</w:t>
      </w:r>
      <w:r>
        <w:t xml:space="preserve"> </w:t>
      </w:r>
      <w:r>
        <w:t xml:space="preserve">and a pause as failure. It also makes reversals look like regression, even when a reversal is the responsible decision.</w:t>
      </w:r>
    </w:p>
    <w:p>
      <w:pPr>
        <w:pStyle w:val="BodyText"/>
      </w:pPr>
      <w:r>
        <w:t xml:space="preserve">The one-scale framing is unsafe for this book’s purpose. The control-plane remediation separated lifecycle, portfolio disposition, execution policy, runtime truth, and capacity policy precisely because they did not behave as one state. The product contract therefore rejects a universal maturity ladder as the governing model.</w:t>
      </w:r>
    </w:p>
    <w:p>
      <w:pPr>
        <w:pStyle w:val="BodyText"/>
      </w:pPr>
      <w:r>
        <w:t xml:space="preserve">A sponsor can still use a selected score for a bounded decision. A team may track review coverage, evidence freshness, runtime health, or operating cost. Those are projections from the record, not the record itself. The discipline is to state the denominator and decision purpose.</w:t>
      </w:r>
      <w:r>
        <w:t xml:space="preserve"> </w:t>
      </w:r>
      <w:r>
        <w:t xml:space="preserve">“</w:t>
      </w:r>
      <w:r>
        <w:t xml:space="preserve">This evidence is current enough for a quarterly review</w:t>
      </w:r>
      <w:r>
        <w:t xml:space="preserve">”</w:t>
      </w:r>
      <w:r>
        <w:t xml:space="preserve"> </w:t>
      </w:r>
      <w:r>
        <w:t xml:space="preserve">is useful.</w:t>
      </w:r>
      <w:r>
        <w:t xml:space="preserve"> </w:t>
      </w:r>
      <w:r>
        <w:t xml:space="preserve">“</w:t>
      </w:r>
      <w:r>
        <w:t xml:space="preserve">This worker is level four</w:t>
      </w:r>
      <w:r>
        <w:t xml:space="preserve">”</w:t>
      </w:r>
      <w:r>
        <w:t xml:space="preserve"> </w:t>
      </w:r>
      <w:r>
        <w:t xml:space="preserve">usually leaves the sponsor with more questions than answers.</w:t>
      </w:r>
    </w:p>
    <w:bookmarkEnd w:id="51"/>
    <w:bookmarkStart w:id="52" w:name="why-lifecycle-alone-fails"/>
    <w:p>
      <w:pPr>
        <w:pStyle w:val="Heading2"/>
      </w:pPr>
      <w:r>
        <w:t xml:space="preserve">Why lifecycle alone fails</w:t>
      </w:r>
    </w:p>
    <w:p>
      <w:pPr>
        <w:pStyle w:val="FirstParagraph"/>
      </w:pPr>
      <w:r>
        <w:t xml:space="preserve">A lifecycle model improves on a ladder because it makes change visible. It introduces the possibility that a worker can be commissioned, paused, changed, or retired. But lifecycle alone still overreaches if it attempts to carry runtime, authority, execution policy, and portfolio intent.</w:t>
      </w:r>
    </w:p>
    <w:p>
      <w:pPr>
        <w:pStyle w:val="BodyText"/>
      </w:pPr>
      <w:r>
        <w:t xml:space="preserve">An identity can be paused while a project is parked. A project can be retired while the associated identity continues to serve another responsibility. A capability can be superseded while the worker’s history and evidence remain preserved. A schedule can be disabled while supervised execution remains permitted. A system can be unhealthy while the sponsor still intends to continue the responsibility after remediation.</w:t>
      </w:r>
    </w:p>
    <w:p>
      <w:pPr>
        <w:pStyle w:val="BodyText"/>
      </w:pPr>
      <w:r>
        <w:t xml:space="preserve">These are not edge cases created by excessive modeling. They are normal consequences of asking a named unit to hold an ongoing responsibility in a changing organization.</w:t>
      </w:r>
    </w:p>
    <w:p>
      <w:pPr>
        <w:pStyle w:val="BodyText"/>
      </w:pPr>
      <w:r>
        <w:t xml:space="preserve">Lifecycle should answer the lifecycle question clearly. It should not become a substitute for the sponsor’s portfolio decision or the operator’s runtime evidence. The moment a lifecycle state must imply what the system is doing, what the owner intends, what the authority permits, and what evidence has been reviewed, it has become the same overloaded status field with more respectable vocabulary.</w:t>
      </w:r>
    </w:p>
    <w:bookmarkEnd w:id="52"/>
    <w:bookmarkStart w:id="53" w:name="Xe64391a71c17184ef92097aaa96ce69540a1f16"/>
    <w:p>
      <w:pPr>
        <w:pStyle w:val="Heading2"/>
      </w:pPr>
      <w:r>
        <w:t xml:space="preserve">Make the record usable at the moment of decision</w:t>
      </w:r>
    </w:p>
    <w:p>
      <w:pPr>
        <w:pStyle w:val="FirstParagraph"/>
      </w:pPr>
      <w:r>
        <w:t xml:space="preserve">The record earns its place when a sponsor can use it in a real review.</w:t>
      </w:r>
    </w:p>
    <w:p>
      <w:pPr>
        <w:pStyle w:val="BodyText"/>
      </w:pPr>
      <w:r>
        <w:t xml:space="preserve">For a proposed worker, the sponsor should be able to ask:</w:t>
      </w:r>
    </w:p>
    <w:p>
      <w:pPr>
        <w:pStyle w:val="Compact"/>
        <w:numPr>
          <w:ilvl w:val="0"/>
          <w:numId w:val="1006"/>
        </w:numPr>
      </w:pPr>
      <w:r>
        <w:t xml:space="preserve">What named worker and ongoing responsibility are we considering?</w:t>
      </w:r>
    </w:p>
    <w:p>
      <w:pPr>
        <w:pStyle w:val="Compact"/>
        <w:numPr>
          <w:ilvl w:val="0"/>
          <w:numId w:val="1006"/>
        </w:numPr>
      </w:pPr>
      <w:r>
        <w:t xml:space="preserve">Who owns the outcome, and what authority has actually been granted?</w:t>
      </w:r>
    </w:p>
    <w:p>
      <w:pPr>
        <w:pStyle w:val="Compact"/>
        <w:numPr>
          <w:ilvl w:val="0"/>
          <w:numId w:val="1006"/>
        </w:numPr>
      </w:pPr>
      <w:r>
        <w:t xml:space="preserve">What is the current identity lifecycle, and what is the separate portfolio disposition?</w:t>
      </w:r>
    </w:p>
    <w:p>
      <w:pPr>
        <w:pStyle w:val="Compact"/>
        <w:numPr>
          <w:ilvl w:val="0"/>
          <w:numId w:val="1006"/>
        </w:numPr>
      </w:pPr>
      <w:r>
        <w:t xml:space="preserve">Under what execution policy and current binding may it operate?</w:t>
      </w:r>
    </w:p>
    <w:p>
      <w:pPr>
        <w:pStyle w:val="Compact"/>
        <w:numPr>
          <w:ilvl w:val="0"/>
          <w:numId w:val="1006"/>
        </w:numPr>
      </w:pPr>
      <w:r>
        <w:t xml:space="preserve">What does the runtime show now, including unresolved approvals or unknowns?</w:t>
      </w:r>
    </w:p>
    <w:p>
      <w:pPr>
        <w:pStyle w:val="Compact"/>
        <w:numPr>
          <w:ilvl w:val="0"/>
          <w:numId w:val="1006"/>
        </w:numPr>
      </w:pPr>
      <w:r>
        <w:t xml:space="preserve">What evidence supports commissioning, continuation, constraint, pause, redesign, or retirement?</w:t>
      </w:r>
    </w:p>
    <w:p>
      <w:pPr>
        <w:pStyle w:val="Compact"/>
        <w:numPr>
          <w:ilvl w:val="0"/>
          <w:numId w:val="1006"/>
        </w:numPr>
      </w:pPr>
      <w:r>
        <w:t xml:space="preserve">What operating capacity is available to sustain the commission?</w:t>
      </w:r>
    </w:p>
    <w:p>
      <w:pPr>
        <w:pStyle w:val="Compact"/>
        <w:numPr>
          <w:ilvl w:val="0"/>
          <w:numId w:val="1006"/>
        </w:numPr>
      </w:pPr>
      <w:r>
        <w:t xml:space="preserve">Which of these answers is missing, contested, or merely inferred?</w:t>
      </w:r>
    </w:p>
    <w:p>
      <w:pPr>
        <w:pStyle w:val="FirstParagraph"/>
      </w:pPr>
      <w:r>
        <w:t xml:space="preserve">That last question is the one most single-status systems cannot answer. They were designed to look settled.</w:t>
      </w:r>
    </w:p>
    <w:p>
      <w:pPr>
        <w:pStyle w:val="BodyText"/>
      </w:pPr>
      <w:r>
        <w:t xml:space="preserve">A good record does not eliminate disagreement. It places disagreement where the accountable owner can see it. It lets a sponsor say: the identity remains commissioned, the project is parked, execution is disabled, the runtime is quiet, the evidence is preserved, the capability has been superseded by a named successor, and a future reactivation would require a new decision. That is longer than</w:t>
      </w:r>
      <w:r>
        <w:t xml:space="preserve"> </w:t>
      </w:r>
      <w:r>
        <w:t xml:space="preserve">“</w:t>
      </w:r>
      <w:r>
        <w:t xml:space="preserve">inactive.</w:t>
      </w:r>
      <w:r>
        <w:t xml:space="preserve">”</w:t>
      </w:r>
      <w:r>
        <w:t xml:space="preserve"> </w:t>
      </w:r>
      <w:r>
        <w:t xml:space="preserve">It is also a decision someone can inspect.</w:t>
      </w:r>
    </w:p>
    <w:p>
      <w:pPr>
        <w:pStyle w:val="BodyText"/>
      </w:pPr>
      <w:r>
        <w:t xml:space="preserve">That is enough to act on carefully. Do not wait for a universal schema before separating the facts that already conflict. Start with one worker and one responsibility. Then give both facts somewhere honest to live.</w:t>
      </w:r>
    </w:p>
    <w:p>
      <w:pPr>
        <w:pStyle w:val="BodyText"/>
      </w:pPr>
      <w:r>
        <w:t xml:space="preserve">The next part of the book makes that record operational: who owns each truth, what authority permits action, and what evidence is sufficient to continue carrying responsibility.</w:t>
      </w:r>
    </w:p>
    <w:bookmarkEnd w:id="53"/>
    <w:bookmarkStart w:id="54" w:name="sources-and-evidence-notes-2"/>
    <w:p>
      <w:pPr>
        <w:pStyle w:val="Heading2"/>
      </w:pPr>
      <w:r>
        <w:t xml:space="preserve">Sources and evidence notes</w:t>
      </w:r>
    </w:p>
    <w:p>
      <w:pPr>
        <w:numPr>
          <w:ilvl w:val="0"/>
          <w:numId w:val="1007"/>
        </w:numPr>
      </w:pPr>
      <w:r>
        <w:rPr>
          <w:i/>
          <w:iCs/>
        </w:rPr>
        <w:t xml:space="preserve">The book’s internal planning repository</w:t>
      </w:r>
      <w:r>
        <w:t xml:space="preserve"> </w:t>
      </w:r>
      <w:r>
        <w:t xml:space="preserve">— Chapter 3’s required reader question, dimensions, countermodels, exclusions, target range, and evidence ceiling.</w:t>
      </w:r>
    </w:p>
    <w:p>
      <w:pPr>
        <w:numPr>
          <w:ilvl w:val="0"/>
          <w:numId w:val="1007"/>
        </w:numPr>
      </w:pPr>
      <w:r>
        <w:rPr>
          <w:i/>
          <w:iCs/>
        </w:rPr>
        <w:t xml:space="preserve">The book’s internal planning repository</w:t>
      </w:r>
      <w:r>
        <w:t xml:space="preserve"> </w:t>
      </w:r>
      <w:r>
        <w:t xml:space="preserve">— Scope: the chapter must deliver an orthogonal record and optional projections without advancing a ladder, a canonical four-graph model, or central-Chief truth.</w:t>
      </w:r>
    </w:p>
    <w:p>
      <w:pPr>
        <w:numPr>
          <w:ilvl w:val="0"/>
          <w:numId w:val="1007"/>
        </w:numPr>
      </w:pPr>
      <w:r>
        <w:rPr>
          <w:i/>
          <w:iCs/>
        </w:rPr>
        <w:t xml:space="preserve">The book’s internal planning repository</w:t>
      </w:r>
      <w:r>
        <w:t xml:space="preserve"> </w:t>
      </w:r>
      <w:r>
        <w:t xml:space="preserve">— Scope: evidence-language discipline, exclusions on invented facts and universal claims, and required source-note format.</w:t>
      </w:r>
    </w:p>
    <w:p>
      <w:pPr>
        <w:numPr>
          <w:ilvl w:val="0"/>
          <w:numId w:val="1007"/>
        </w:numPr>
      </w:pPr>
      <w:r>
        <w:rPr>
          <w:i/>
          <w:iCs/>
        </w:rPr>
        <w:t xml:space="preserve">The book’s internal planning repository</w:t>
      </w:r>
      <w:r>
        <w:t xml:space="preserve"> </w:t>
      </w:r>
      <w:r>
        <w:t xml:space="preserve">and</w:t>
      </w:r>
      <w:r>
        <w:t xml:space="preserve"> </w:t>
      </w:r>
      <w:r>
        <w:rPr>
          <w:i/>
          <w:iCs/>
        </w:rPr>
        <w:t xml:space="preserve">The book’s internal planning repository</w:t>
      </w:r>
      <w:r>
        <w:t xml:space="preserve"> </w:t>
      </w:r>
      <w:r>
        <w:t xml:space="preserve">— Scope: approved governing question; bounded commissioning rather than capability demonstration; three-book exclusions; human and organizational accountability.</w:t>
      </w:r>
    </w:p>
    <w:p>
      <w:pPr>
        <w:numPr>
          <w:ilvl w:val="0"/>
          <w:numId w:val="1007"/>
        </w:numPr>
      </w:pPr>
      <w:r>
        <w:rPr>
          <w:i/>
          <w:iCs/>
        </w:rPr>
        <w:t xml:space="preserve">The book’s internal pre-draft specifications</w:t>
      </w:r>
      <w:r>
        <w:t xml:space="preserve"> </w:t>
      </w:r>
      <w:r>
        <w:t xml:space="preserve">— Scope: the orthogonal commissioning record is proposed; this canonical synthesis incorporates the preserved Terra architecture input used to test identity, authority, lifecycle, runtime, and capacity dimensions. Lifecycle, dashboards, graphs, and control loops remain optional read-oriented projections; conditions that would defeat or narrow the proposal are retained.</w:t>
      </w:r>
    </w:p>
    <w:p>
      <w:pPr>
        <w:numPr>
          <w:ilvl w:val="0"/>
          <w:numId w:val="1007"/>
        </w:numPr>
      </w:pPr>
      <w:r>
        <w:rPr>
          <w:i/>
          <w:iCs/>
        </w:rPr>
        <w:t xml:space="preserve">The book’s internal research ledger</w:t>
      </w:r>
      <w:r>
        <w:t xml:space="preserve">,</w:t>
      </w:r>
      <w:r>
        <w:t xml:space="preserve"> </w:t>
      </w:r>
      <w:r>
        <w:rPr>
          <w:i/>
          <w:iCs/>
        </w:rPr>
        <w:t xml:space="preserve">The book’s internal research ledger</w:t>
      </w:r>
      <w:r>
        <w:t xml:space="preserve">,</w:t>
      </w:r>
      <w:r>
        <w:t xml:space="preserve"> </w:t>
      </w:r>
      <w:r>
        <w:rPr>
          <w:i/>
          <w:iCs/>
        </w:rPr>
        <w:t xml:space="preserve">The book’s internal research ledger</w:t>
      </w:r>
      <w:r>
        <w:t xml:space="preserve">, and</w:t>
      </w:r>
      <w:r>
        <w:t xml:space="preserve"> </w:t>
      </w:r>
      <w:r>
        <w:rPr>
          <w:i/>
          <w:iCs/>
        </w:rPr>
        <w:t xml:space="preserve">The book’s internal research ledger</w:t>
      </w:r>
      <w:r>
        <w:t xml:space="preserve"> </w:t>
      </w:r>
      <w:r>
        <w:t xml:space="preserve">— Scope: estate-only support for identity/harness separation, additive graph projections, lifecycle/disposition distinctions, and the rejection of a linear maturity ladder as book doctrine.</w:t>
      </w:r>
    </w:p>
    <w:p>
      <w:pPr>
        <w:numPr>
          <w:ilvl w:val="0"/>
          <w:numId w:val="1007"/>
        </w:numPr>
      </w:pPr>
      <w:r>
        <w:rPr>
          <w:i/>
          <w:iCs/>
        </w:rPr>
        <w:t xml:space="preserve">The author’s operating decision log</w:t>
      </w:r>
      <w:r>
        <w:t xml:space="preserve"> </w:t>
      </w:r>
      <w:r>
        <w:t xml:space="preserve">— Scope: D20 records the local separation of durable employee identity from harness, schedule, and daemon; D79 proposes separate identity lifecycle, portfolio disposition, execution policy, runtime truth, and capacity policy, while stating that owner implementation remains incomplete.</w:t>
      </w:r>
    </w:p>
    <w:p>
      <w:pPr>
        <w:numPr>
          <w:ilvl w:val="0"/>
          <w:numId w:val="1007"/>
        </w:numPr>
      </w:pPr>
      <w:r>
        <w:rPr>
          <w:i/>
          <w:iCs/>
        </w:rPr>
        <w:t xml:space="preserve">The author’s internal estate documentation</w:t>
      </w:r>
      <w:r>
        <w:t xml:space="preserve"> </w:t>
      </w:r>
      <w:r>
        <w:t xml:space="preserve">— Scope: detailed proposed separation of identity lifecycle, project disposition, execution policy, runtime observations, and preserved assets; owner-native implementation and live truth remain bounded by owner contracts.</w:t>
      </w:r>
    </w:p>
    <w:p>
      <w:pPr>
        <w:numPr>
          <w:ilvl w:val="0"/>
          <w:numId w:val="1007"/>
        </w:numPr>
      </w:pPr>
      <w:r>
        <w:rPr>
          <w:i/>
          <w:iCs/>
        </w:rPr>
        <w:t xml:space="preserve">The book’s internal pre-draft specifications</w:t>
      </w:r>
      <w:r>
        <w:t xml:space="preserve"> </w:t>
      </w:r>
      <w:r>
        <w:t xml:space="preserve">and</w:t>
      </w:r>
      <w:r>
        <w:t xml:space="preserve"> </w:t>
      </w:r>
      <w:r>
        <w:rPr>
          <w:i/>
          <w:iCs/>
        </w:rPr>
        <w:t xml:space="preserve">The book’s internal research ledger</w:t>
      </w:r>
      <w:r>
        <w:t xml:space="preserve"> </w:t>
      </w:r>
      <w:r>
        <w:t xml:space="preserve">— Scope: enterprise effectiveness is not established; the record is a practitioner-grounded operating proposal, not a recognized standard or finished enterprise control plane.</w:t>
      </w:r>
    </w:p>
    <w:p>
      <w:pPr>
        <w:numPr>
          <w:ilvl w:val="0"/>
          <w:numId w:val="1007"/>
        </w:numPr>
      </w:pPr>
      <w:r>
        <w:rPr>
          <w:i/>
          <w:iCs/>
        </w:rPr>
        <w:t xml:space="preserve">The book’s internal planning repository</w:t>
      </w:r>
      <w:r>
        <w:t xml:space="preserve">,</w:t>
      </w:r>
      <w:r>
        <w:t xml:space="preserve"> </w:t>
      </w:r>
      <w:r>
        <w:rPr>
          <w:i/>
          <w:iCs/>
        </w:rPr>
        <w:t xml:space="preserve">The book’s internal planning repository</w:t>
      </w:r>
      <w:r>
        <w:t xml:space="preserve">, and</w:t>
      </w:r>
      <w:r>
        <w:t xml:space="preserve"> </w:t>
      </w:r>
      <w:r>
        <w:rPr>
          <w:i/>
          <w:iCs/>
        </w:rPr>
        <w:t xml:space="preserve">The book’s internal research ledger</w:t>
      </w:r>
      <w:r>
        <w:t xml:space="preserve">,</w:t>
      </w:r>
      <w:r>
        <w:t xml:space="preserve"> </w:t>
      </w:r>
      <w:r>
        <w:rPr>
          <w:rStyle w:val="VerbatimChar"/>
        </w:rPr>
        <w:t xml:space="preserve">article-02.md</w:t>
      </w:r>
      <w:r>
        <w:t xml:space="preserve">,</w:t>
      </w:r>
      <w:r>
        <w:t xml:space="preserve"> </w:t>
      </w:r>
      <w:r>
        <w:rPr>
          <w:rStyle w:val="VerbatimChar"/>
        </w:rPr>
        <w:t xml:space="preserve">article-04.md</w:t>
      </w:r>
      <w:r>
        <w:t xml:space="preserve">,</w:t>
      </w:r>
      <w:r>
        <w:t xml:space="preserve"> </w:t>
      </w:r>
      <w:r>
        <w:rPr>
          <w:rStyle w:val="VerbatimChar"/>
        </w:rPr>
        <w:t xml:space="preserve">article-05.md</w:t>
      </w:r>
      <w:r>
        <w:t xml:space="preserve">, and</w:t>
      </w:r>
      <w:r>
        <w:t xml:space="preserve"> </w:t>
      </w:r>
      <w:r>
        <w:rPr>
          <w:rStyle w:val="VerbatimChar"/>
        </w:rPr>
        <w:t xml:space="preserve">article-07.md</w:t>
      </w:r>
      <w:r>
        <w:t xml:space="preserve"> </w:t>
      </w:r>
      <w:r>
        <w:t xml:space="preserve">— Scope: voice and cadence only; these sources do not supply enterprise evidence for the operating model.</w:t>
      </w:r>
    </w:p>
    <w:p>
      <w:r>
        <w:pict>
          <v:rect style="width:0;height:1.5pt" o:hralign="center" o:hrstd="t" o:hr="t"/>
        </w:pict>
      </w:r>
    </w:p>
    <w:bookmarkEnd w:id="54"/>
    <w:bookmarkEnd w:id="55"/>
    <w:bookmarkStart w:id="56" w:name="part-ii-accountable-operation"/>
    <w:p>
      <w:pPr>
        <w:pStyle w:val="Heading1"/>
      </w:pPr>
      <w:r>
        <w:t xml:space="preserve">Part II — Accountable Operation</w:t>
      </w:r>
    </w:p>
    <w:bookmarkEnd w:id="56"/>
    <w:bookmarkStart w:id="72" w:name="chapter-4-authority-is-not-access"/>
    <w:p>
      <w:pPr>
        <w:pStyle w:val="Heading1"/>
      </w:pPr>
      <w:r>
        <w:t xml:space="preserve">Chapter 4 — Authority Is Not Access</w:t>
      </w:r>
    </w:p>
    <w:p>
      <w:pPr>
        <w:pStyle w:val="FirstParagraph"/>
      </w:pPr>
      <w:r>
        <w:t xml:space="preserve">A tool being able to perform an action does not mean a worker is authorized to perform it.</w:t>
      </w:r>
    </w:p>
    <w:p>
      <w:pPr>
        <w:pStyle w:val="BodyText"/>
      </w:pPr>
      <w:r>
        <w:t xml:space="preserve">That sounds obvious until an enterprise starts wiring systems together. A calendar connector can return appointments. A service account can reach a database. A workflow can publish a document. A model can produce a convincing explanation of why the next step is sensible. In a demo, all of that can collapse into one impression: the worker can do the thing.</w:t>
      </w:r>
    </w:p>
    <w:p>
      <w:pPr>
        <w:pStyle w:val="BodyText"/>
      </w:pPr>
      <w:r>
        <w:t xml:space="preserve">But</w:t>
      </w:r>
      <w:r>
        <w:t xml:space="preserve"> </w:t>
      </w:r>
      <w:r>
        <w:t xml:space="preserve">“</w:t>
      </w:r>
      <w:r>
        <w:t xml:space="preserve">can</w:t>
      </w:r>
      <w:r>
        <w:t xml:space="preserve">”</w:t>
      </w:r>
      <w:r>
        <w:t xml:space="preserve"> </w:t>
      </w:r>
      <w:r>
        <w:t xml:space="preserve">is carrying too much weight.</w:t>
      </w:r>
    </w:p>
    <w:p>
      <w:pPr>
        <w:pStyle w:val="BodyText"/>
      </w:pPr>
      <w:r>
        <w:t xml:space="preserve">The workforce sponsor needs a different answer: Is this named worker authorized to take this action, against this source or system, under these conditions, with this owner still accountable if the action is wrong?</w:t>
      </w:r>
    </w:p>
    <w:p>
      <w:pPr>
        <w:pStyle w:val="BodyText"/>
      </w:pPr>
      <w:r>
        <w:t xml:space="preserve">That is not a technical question disguised as a governance question. It is the commissioning question made concrete.</w:t>
      </w:r>
    </w:p>
    <w:p>
      <w:pPr>
        <w:pStyle w:val="BodyText"/>
      </w:pPr>
      <w:r>
        <w:t xml:space="preserve">A digital worker may need access to information without authority to alter it. It may have authority to prepare a recommendation without authority to release it. It may have a valid source grant while the approved interface cannot safely transport the resulting evidence. It may be authorized to act within a narrow operating boundary yet still need a human approval when a particular consequence is about to occur.</w:t>
      </w:r>
    </w:p>
    <w:p>
      <w:pPr>
        <w:pStyle w:val="BodyText"/>
      </w:pPr>
      <w:r>
        <w:t xml:space="preserve">These are separate contracts. Treating them as one is how a permissive tool path gets mistaken for organizational permission.</w:t>
      </w:r>
    </w:p>
    <w:bookmarkStart w:id="57" w:name="the-action-is-not-the-authority"/>
    <w:p>
      <w:pPr>
        <w:pStyle w:val="Heading2"/>
      </w:pPr>
      <w:r>
        <w:t xml:space="preserve">The action is not the authority</w:t>
      </w:r>
    </w:p>
    <w:p>
      <w:pPr>
        <w:pStyle w:val="FirstParagraph"/>
      </w:pPr>
      <w:r>
        <w:t xml:space="preserve">Start with the action you are considering. Not the model. Not the workflow. Not the vendor’s capability chart.</w:t>
      </w:r>
    </w:p>
    <w:p>
      <w:pPr>
        <w:pStyle w:val="BodyText"/>
      </w:pPr>
      <w:r>
        <w:t xml:space="preserve">An action.</w:t>
      </w:r>
    </w:p>
    <w:p>
      <w:pPr>
        <w:pStyle w:val="BodyText"/>
      </w:pPr>
      <w:r>
        <w:t xml:space="preserve">“</w:t>
      </w:r>
      <w:r>
        <w:t xml:space="preserve">Read today’s calendar and prepare a conflict brief</w:t>
      </w:r>
      <w:r>
        <w:t xml:space="preserve">”</w:t>
      </w:r>
      <w:r>
        <w:t xml:space="preserve"> </w:t>
      </w:r>
      <w:r>
        <w:t xml:space="preserve">is an action.</w:t>
      </w:r>
      <w:r>
        <w:t xml:space="preserve"> </w:t>
      </w:r>
      <w:r>
        <w:t xml:space="preserve">“</w:t>
      </w:r>
      <w:r>
        <w:t xml:space="preserve">Move a customer meeting</w:t>
      </w:r>
      <w:r>
        <w:t xml:space="preserve">”</w:t>
      </w:r>
      <w:r>
        <w:t xml:space="preserve"> </w:t>
      </w:r>
      <w:r>
        <w:t xml:space="preserve">is a different action.</w:t>
      </w:r>
      <w:r>
        <w:t xml:space="preserve"> </w:t>
      </w:r>
      <w:r>
        <w:t xml:space="preserve">“</w:t>
      </w:r>
      <w:r>
        <w:t xml:space="preserve">Draft a response for a manager to send</w:t>
      </w:r>
      <w:r>
        <w:t xml:space="preserve">”</w:t>
      </w:r>
      <w:r>
        <w:t xml:space="preserve"> </w:t>
      </w:r>
      <w:r>
        <w:t xml:space="preserve">is different again.</w:t>
      </w:r>
      <w:r>
        <w:t xml:space="preserve"> </w:t>
      </w:r>
      <w:r>
        <w:t xml:space="preserve">“</w:t>
      </w:r>
      <w:r>
        <w:t xml:space="preserve">Send the response</w:t>
      </w:r>
      <w:r>
        <w:t xml:space="preserve">”</w:t>
      </w:r>
      <w:r>
        <w:t xml:space="preserve"> </w:t>
      </w:r>
      <w:r>
        <w:t xml:space="preserve">is different again.</w:t>
      </w:r>
    </w:p>
    <w:p>
      <w:pPr>
        <w:pStyle w:val="BodyText"/>
      </w:pPr>
      <w:r>
        <w:t xml:space="preserve">Each action can involve several distinct decisions:</w:t>
      </w:r>
    </w:p>
    <w:p>
      <w:pPr>
        <w:numPr>
          <w:ilvl w:val="0"/>
          <w:numId w:val="1008"/>
        </w:numPr>
      </w:pPr>
      <w:r>
        <w:rPr>
          <w:b/>
          <w:bCs/>
        </w:rPr>
        <w:t xml:space="preserve">Organizational authority:</w:t>
      </w:r>
      <w:r>
        <w:t xml:space="preserve"> </w:t>
      </w:r>
      <w:r>
        <w:t xml:space="preserve">Has the enterprise decided that this worker may perform this class of work as part of its ongoing responsibility?</w:t>
      </w:r>
    </w:p>
    <w:p>
      <w:pPr>
        <w:numPr>
          <w:ilvl w:val="0"/>
          <w:numId w:val="1008"/>
        </w:numPr>
      </w:pPr>
      <w:r>
        <w:rPr>
          <w:b/>
          <w:bCs/>
        </w:rPr>
        <w:t xml:space="preserve">Source permission:</w:t>
      </w:r>
      <w:r>
        <w:t xml:space="preserve"> </w:t>
      </w:r>
      <w:r>
        <w:t xml:space="preserve">Has the owner of the relevant information or system granted this principal access to the necessary records, within a defined scope?</w:t>
      </w:r>
    </w:p>
    <w:p>
      <w:pPr>
        <w:numPr>
          <w:ilvl w:val="0"/>
          <w:numId w:val="1008"/>
        </w:numPr>
      </w:pPr>
      <w:r>
        <w:rPr>
          <w:b/>
          <w:bCs/>
        </w:rPr>
        <w:t xml:space="preserve">Technical transport:</w:t>
      </w:r>
      <w:r>
        <w:t xml:space="preserve"> </w:t>
      </w:r>
      <w:r>
        <w:t xml:space="preserve">Can the approved interface retrieve and release the evidence to this worker or reviewer without bypassing the controls that make the release attributable?</w:t>
      </w:r>
    </w:p>
    <w:p>
      <w:pPr>
        <w:numPr>
          <w:ilvl w:val="0"/>
          <w:numId w:val="1008"/>
        </w:numPr>
      </w:pPr>
      <w:r>
        <w:rPr>
          <w:b/>
          <w:bCs/>
        </w:rPr>
        <w:t xml:space="preserve">Action approval:</w:t>
      </w:r>
      <w:r>
        <w:t xml:space="preserve"> </w:t>
      </w:r>
      <w:r>
        <w:t xml:space="preserve">Does this particular action require a named human or organizational approval before it proceeds?</w:t>
      </w:r>
    </w:p>
    <w:p>
      <w:pPr>
        <w:numPr>
          <w:ilvl w:val="0"/>
          <w:numId w:val="1008"/>
        </w:numPr>
      </w:pPr>
      <w:r>
        <w:rPr>
          <w:b/>
          <w:bCs/>
        </w:rPr>
        <w:t xml:space="preserve">Escalation:</w:t>
      </w:r>
      <w:r>
        <w:t xml:space="preserve"> </w:t>
      </w:r>
      <w:r>
        <w:t xml:space="preserve">If the worker encounters a condition outside its authorization, who receives the question, with what evidence, and before which consequence?</w:t>
      </w:r>
    </w:p>
    <w:p>
      <w:pPr>
        <w:numPr>
          <w:ilvl w:val="0"/>
          <w:numId w:val="1008"/>
        </w:numPr>
      </w:pPr>
      <w:r>
        <w:rPr>
          <w:b/>
          <w:bCs/>
        </w:rPr>
        <w:t xml:space="preserve">Capability-level control:</w:t>
      </w:r>
      <w:r>
        <w:t xml:space="preserve"> </w:t>
      </w:r>
      <w:r>
        <w:t xml:space="preserve">What technical limits, checks, and operating constraints prevent a permitted capability from becoming a broader or more consequential action?</w:t>
      </w:r>
    </w:p>
    <w:p>
      <w:pPr>
        <w:pStyle w:val="FirstParagraph"/>
      </w:pPr>
      <w:r>
        <w:t xml:space="preserve">A good commissioning record keeps those answers separate because they can diverge.</w:t>
      </w:r>
    </w:p>
    <w:p>
      <w:pPr>
        <w:pStyle w:val="BodyText"/>
      </w:pPr>
      <w:r>
        <w:t xml:space="preserve">A worker might be authorized to own meeting preparation, permitted to read a bounded calendar, technically unable to receive calendar evidence through one interface, and prohibited from modifying an appointment without the calendar owner’s approval. None of those facts cancels the others. They describe different parts of the operating reality.</w:t>
      </w:r>
    </w:p>
    <w:p>
      <w:pPr>
        <w:pStyle w:val="BodyText"/>
      </w:pPr>
      <w:r>
        <w:t xml:space="preserve">The failure begins when a team looks at one green light and assumes the whole path is green.</w:t>
      </w:r>
    </w:p>
    <w:p>
      <w:pPr>
        <w:pStyle w:val="BodyText"/>
      </w:pPr>
      <w:r>
        <w:t xml:space="preserve">A valid credential is not an operating charter, and a working API is not approval. A source grant or successful retrieval still does not authorize action.</w:t>
      </w:r>
    </w:p>
    <w:p>
      <w:pPr>
        <w:pStyle w:val="BodyText"/>
      </w:pPr>
      <w:r>
        <w:t xml:space="preserve">The distinction matters because each false equivalence moves accountability somewhere it cannot be inspected. If the system</w:t>
      </w:r>
      <w:r>
        <w:t xml:space="preserve"> </w:t>
      </w:r>
      <w:r>
        <w:t xml:space="preserve">“</w:t>
      </w:r>
      <w:r>
        <w:t xml:space="preserve">just had access,</w:t>
      </w:r>
      <w:r>
        <w:t xml:space="preserve">”</w:t>
      </w:r>
      <w:r>
        <w:t xml:space="preserve"> </w:t>
      </w:r>
      <w:r>
        <w:t xml:space="preserve">nobody can say who authorized the scope. If a workflow</w:t>
      </w:r>
      <w:r>
        <w:t xml:space="preserve"> </w:t>
      </w:r>
      <w:r>
        <w:t xml:space="preserve">“</w:t>
      </w:r>
      <w:r>
        <w:t xml:space="preserve">just sent the message,</w:t>
      </w:r>
      <w:r>
        <w:t xml:space="preserve">”</w:t>
      </w:r>
      <w:r>
        <w:t xml:space="preserve"> </w:t>
      </w:r>
      <w:r>
        <w:t xml:space="preserve">nobody can say whether an approval was required. If an interface</w:t>
      </w:r>
      <w:r>
        <w:t xml:space="preserve"> </w:t>
      </w:r>
      <w:r>
        <w:t xml:space="preserve">“</w:t>
      </w:r>
      <w:r>
        <w:t xml:space="preserve">just could not return the evidence,</w:t>
      </w:r>
      <w:r>
        <w:t xml:space="preserve">”</w:t>
      </w:r>
      <w:r>
        <w:t xml:space="preserve"> </w:t>
      </w:r>
      <w:r>
        <w:t xml:space="preserve">a team may blame the source owner even though the source grant was valid and the failure belonged to the transport layer.</w:t>
      </w:r>
    </w:p>
    <w:p>
      <w:pPr>
        <w:pStyle w:val="BodyText"/>
      </w:pPr>
      <w:r>
        <w:t xml:space="preserve">That is not a semantic problem. It is a decision problem with operational consequences.</w:t>
      </w:r>
    </w:p>
    <w:bookmarkEnd w:id="57"/>
    <w:bookmarkStart w:id="58" w:name="Xf77a86537b24f2bada8a3e3f0cce37749feaeb6"/>
    <w:p>
      <w:pPr>
        <w:pStyle w:val="Heading2"/>
      </w:pPr>
      <w:r>
        <w:t xml:space="preserve">The local case: a grant that could not travel</w:t>
      </w:r>
    </w:p>
    <w:p>
      <w:pPr>
        <w:pStyle w:val="FirstParagraph"/>
      </w:pPr>
      <w:r>
        <w:t xml:space="preserve">My estate contains a useful example. This approach is a practitioner hypothesis, and its transfer to a large enterprise remains untested.</w:t>
      </w:r>
    </w:p>
    <w:p>
      <w:pPr>
        <w:pStyle w:val="BodyText"/>
      </w:pPr>
      <w:r>
        <w:t xml:space="preserve">A Chief-of-Staff worker needed bounded read access to Outlook mail and calendar information. The decision did not begin with a credential. It paused for my live approval. The approved scope was read-only and specific to the relevant sources. The worker did not self-grant access, and the decision record preserved the difference between proposing a grant and making one.</w:t>
      </w:r>
    </w:p>
    <w:p>
      <w:pPr>
        <w:pStyle w:val="BodyText"/>
      </w:pPr>
      <w:r>
        <w:t xml:space="preserve">That is the first distinction: the person accountable for the source scope made the authorization decision.</w:t>
      </w:r>
    </w:p>
    <w:p>
      <w:pPr>
        <w:pStyle w:val="BodyText"/>
      </w:pPr>
      <w:r>
        <w:t xml:space="preserve">The second distinction appeared after the grant. The source-level permissions could allow the worker’s principal to retrieve calendar and mail information through one controlled path. But the employee-facing knowledge interface could not release that non-file evidence with the receipt coordinates it required. An earlier grant-handling defect was repaired; the source grant could then remain active without breaking the broader interface. Yet a separate transport restriction still refused to release calendar and mail evidence through that interface.</w:t>
      </w:r>
    </w:p>
    <w:p>
      <w:pPr>
        <w:pStyle w:val="BodyText"/>
      </w:pPr>
      <w:r>
        <w:t xml:space="preserve">The grant existed. The source owner had authorized the read. The worker still could not use every interface to receive the evidence.</w:t>
      </w:r>
    </w:p>
    <w:p>
      <w:pPr>
        <w:pStyle w:val="BodyText"/>
      </w:pPr>
      <w:r>
        <w:t xml:space="preserve">That is not a reason to remove the grant or call the source owner inconsistent. It is a reason to describe the system honestly.</w:t>
      </w:r>
    </w:p>
    <w:p>
      <w:pPr>
        <w:pStyle w:val="BodyText"/>
      </w:pPr>
      <w:r>
        <w:t xml:space="preserve">The local operating response was narrow: use the supported command-line path for that bounded source access, preserve the restriction on the employee-facing knowledge interface, and record the remaining limitation for the owner of that interface. Permission and transport are different contracts, and a safe commission has to name both.</w:t>
      </w:r>
    </w:p>
    <w:p>
      <w:pPr>
        <w:pStyle w:val="BodyText"/>
      </w:pPr>
      <w:r>
        <w:t xml:space="preserve">A second local decision made the same lesson explicit for a clean-slate successor design. It proposed that grants and source-owner access rules should be the authority layer, while every approved transport surface should enforce those same rules consistently. In that design, an interface should not quietly create a second authority policy by refusing a source class that the authorization system has already approved. It is a sensible question for a sponsor to ask.</w:t>
      </w:r>
    </w:p>
    <w:p>
      <w:pPr>
        <w:pStyle w:val="BodyText"/>
      </w:pPr>
      <w:r>
        <w:t xml:space="preserve">Where does authority live in this system? And does every approved route enforce it in the same way?</w:t>
      </w:r>
    </w:p>
    <w:p>
      <w:pPr>
        <w:pStyle w:val="BodyText"/>
      </w:pPr>
      <w:r>
        <w:t xml:space="preserve">Those questions are more important than whether the interface is called an API, a connector, a gateway, or a tool.</w:t>
      </w:r>
    </w:p>
    <w:bookmarkEnd w:id="58"/>
    <w:bookmarkStart w:id="59" w:name="Xb6fe849420e415103ab36d947aa918321f5f612"/>
    <w:p>
      <w:pPr>
        <w:pStyle w:val="Heading2"/>
      </w:pPr>
      <w:r>
        <w:t xml:space="preserve">A credential is evidence of a boundary, not a blank check</w:t>
      </w:r>
    </w:p>
    <w:p>
      <w:pPr>
        <w:pStyle w:val="FirstParagraph"/>
      </w:pPr>
      <w:r>
        <w:t xml:space="preserve">A credential can be the technical expression of an authorization decision. It is not the decision itself.</w:t>
      </w:r>
    </w:p>
    <w:p>
      <w:pPr>
        <w:pStyle w:val="BodyText"/>
      </w:pPr>
      <w:r>
        <w:t xml:space="preserve">In the same estate, the Chief-of-Staff worker did not receive a direct credential for an operational board. The available route for creating such a credential required human administrative authority. Existing machine credentials were not repurposed merely because they existed. Instead, the worker continued to receive the information it needed through an established owner channel.</w:t>
      </w:r>
    </w:p>
    <w:p>
      <w:pPr>
        <w:pStyle w:val="BodyText"/>
      </w:pPr>
      <w:r>
        <w:t xml:space="preserve">That outcome may look less elegant than issuing one more token. It is more legible.</w:t>
      </w:r>
    </w:p>
    <w:p>
      <w:pPr>
        <w:pStyle w:val="BodyText"/>
      </w:pPr>
      <w:r>
        <w:t xml:space="preserve">The worker did not need every available route to do its job. It needed a route that matched its current authority, preserved attribution, and did not silently broaden its reach. The decision also exposed an imperfect audit condition in the surrounding system: a relay path could make board reads appear under another worker’s identity. That defect was recorded rather than smoothed over.</w:t>
      </w:r>
    </w:p>
    <w:p>
      <w:pPr>
        <w:pStyle w:val="BodyText"/>
      </w:pPr>
      <w:r>
        <w:t xml:space="preserve">This is what accountable operation looks like before it becomes a compliance diagram. The system tells the truth about its boundaries and its gaps.</w:t>
      </w:r>
    </w:p>
    <w:p>
      <w:pPr>
        <w:pStyle w:val="BodyText"/>
      </w:pPr>
      <w:r>
        <w:t xml:space="preserve">The sponsor’s job is not to demand that every worker receive its own credential for every system it may someday need. The job is to ask whether the worker has the minimum authority required for its present responsibility, through a path whose actor and scope can be explained.</w:t>
      </w:r>
    </w:p>
    <w:p>
      <w:pPr>
        <w:pStyle w:val="BodyText"/>
      </w:pPr>
      <w:r>
        <w:t xml:space="preserve">The answer may be a direct principal. It may be a mediated owner service. It may be a bounded review queue. It may be no access at all until the responsibility changes.</w:t>
      </w:r>
    </w:p>
    <w:p>
      <w:pPr>
        <w:pStyle w:val="BodyText"/>
      </w:pPr>
      <w:r>
        <w:t xml:space="preserve">The important thing is that the route is intentional.</w:t>
      </w:r>
    </w:p>
    <w:p>
      <w:pPr>
        <w:pStyle w:val="BodyText"/>
      </w:pPr>
      <w:r>
        <w:t xml:space="preserve">A capability inventory alone will not give you that answer. Capability inventories tend to ask what a tool can do: read mail, write files, call an API, query a warehouse. A commissioning decision asks a harder question: which named worker may use which capability, for which responsibility, over which source or target, under what conditions, with whose approval, and with what record of the result?</w:t>
      </w:r>
    </w:p>
    <w:p>
      <w:pPr>
        <w:pStyle w:val="BodyText"/>
      </w:pPr>
      <w:r>
        <w:t xml:space="preserve">That is the difference between having powerful plumbing and having an accountable operating unit.</w:t>
      </w:r>
    </w:p>
    <w:bookmarkEnd w:id="59"/>
    <w:bookmarkStart w:id="60" w:name="approval-is-not-a-synonym-for-permission"/>
    <w:p>
      <w:pPr>
        <w:pStyle w:val="Heading2"/>
      </w:pPr>
      <w:r>
        <w:t xml:space="preserve">Approval is not a synonym for permission</w:t>
      </w:r>
    </w:p>
    <w:p>
      <w:pPr>
        <w:pStyle w:val="FirstParagraph"/>
      </w:pPr>
      <w:r>
        <w:t xml:space="preserve">Permission is usually a standing boundary. Approval is usually a decision about a particular moment.</w:t>
      </w:r>
    </w:p>
    <w:p>
      <w:pPr>
        <w:pStyle w:val="BodyText"/>
      </w:pPr>
      <w:r>
        <w:t xml:space="preserve">A worker might have standing permission to inspect a queue, prepare a report, reconcile a record, or draft a recommendation. That does not mean it has standing approval to publish the report, change the record, or execute the recommendation.</w:t>
      </w:r>
    </w:p>
    <w:p>
      <w:pPr>
        <w:pStyle w:val="BodyText"/>
      </w:pPr>
      <w:r>
        <w:t xml:space="preserve">The distinction is especially important when a worker’s responsibility is ongoing. A one-time approval can be appropriate for a singular event. A standing grant can be appropriate for a low-consequence, bounded class of work. But neither should be stretched to cover a different class of consequence merely because the actions sit next to each other in the same workflow.</w:t>
      </w:r>
    </w:p>
    <w:p>
      <w:pPr>
        <w:pStyle w:val="BodyText"/>
      </w:pPr>
      <w:r>
        <w:t xml:space="preserve">Consider a worker that prepares vendor-payment exceptions. It may need access to invoices, contracts, and prior approvals. It may be authorized to identify mismatches and assemble an evidence pack. It may even be authorized to route a recommendation to the accountable finance owner. None of that authorizes it to release funds.</w:t>
      </w:r>
    </w:p>
    <w:p>
      <w:pPr>
        <w:pStyle w:val="BodyText"/>
      </w:pPr>
      <w:r>
        <w:t xml:space="preserve">The payment decision remains a human or organizational action, even if the worker does most of the preparation. The worker can execute the authorized preparation. The owner remains answerable for the consequential choice.</w:t>
      </w:r>
    </w:p>
    <w:p>
      <w:pPr>
        <w:pStyle w:val="BodyText"/>
      </w:pPr>
      <w:r>
        <w:t xml:space="preserve">This is not a vote against automation. It is a refusal to pretend that automation removes the need to locate responsibility.</w:t>
      </w:r>
    </w:p>
    <w:p>
      <w:pPr>
        <w:pStyle w:val="BodyText"/>
      </w:pPr>
      <w:r>
        <w:t xml:space="preserve">A commission should therefore name both the standing permission and the approval boundary. The first says what the worker may routinely do. The second says what must stop and wait for a named decision.</w:t>
      </w:r>
    </w:p>
    <w:p>
      <w:pPr>
        <w:pStyle w:val="BodyText"/>
      </w:pPr>
      <w:r>
        <w:t xml:space="preserve">If the record says only</w:t>
      </w:r>
      <w:r>
        <w:t xml:space="preserve"> </w:t>
      </w:r>
      <w:r>
        <w:t xml:space="preserve">“</w:t>
      </w:r>
      <w:r>
        <w:t xml:space="preserve">human in the loop,</w:t>
      </w:r>
      <w:r>
        <w:t xml:space="preserve">”</w:t>
      </w:r>
      <w:r>
        <w:t xml:space="preserve"> </w:t>
      </w:r>
      <w:r>
        <w:t xml:space="preserve">it has not yet done the work. Which human? At what point? Reviewing what evidence? Able to approve, reject, narrow, or pause which action? And what happens if that person does not respond?</w:t>
      </w:r>
    </w:p>
    <w:p>
      <w:pPr>
        <w:pStyle w:val="BodyText"/>
      </w:pPr>
      <w:r>
        <w:t xml:space="preserve">A vague human loop is often just a delayed incident report.</w:t>
      </w:r>
    </w:p>
    <w:bookmarkEnd w:id="60"/>
    <w:bookmarkStart w:id="61" w:name="Xaf54b08dbda6799017fd0fd7967c6ff9f966b6a"/>
    <w:p>
      <w:pPr>
        <w:pStyle w:val="Heading2"/>
      </w:pPr>
      <w:r>
        <w:t xml:space="preserve">Escalation has to arrive before the consequence</w:t>
      </w:r>
    </w:p>
    <w:p>
      <w:pPr>
        <w:pStyle w:val="FirstParagraph"/>
      </w:pPr>
      <w:r>
        <w:t xml:space="preserve">Escalation is not a notification after the worker has crossed a line. It is a route for uncertainty, exception, or consequence before the action becomes difficult to reverse.</w:t>
      </w:r>
    </w:p>
    <w:p>
      <w:pPr>
        <w:pStyle w:val="BodyText"/>
      </w:pPr>
      <w:r>
        <w:t xml:space="preserve">The predecessor book,</w:t>
      </w:r>
      <w:r>
        <w:t xml:space="preserve"> </w:t>
      </w:r>
      <w:r>
        <w:rPr>
          <w:i/>
          <w:iCs/>
        </w:rPr>
        <w:t xml:space="preserve">Building Autonomous AI Employees</w:t>
      </w:r>
      <w:r>
        <w:t xml:space="preserve">, develops the capability-level controls of blast radius, reversibility, stop behavior, and escalation. Those controls remain important inputs here. This chapter does not replace that work or turn it into a new implementation manual.</w:t>
      </w:r>
    </w:p>
    <w:p>
      <w:pPr>
        <w:pStyle w:val="BodyText"/>
      </w:pPr>
      <w:r>
        <w:t xml:space="preserve">The enterprise question is different: when a capability-level control triggers, does the organization know whose decision is now required?</w:t>
      </w:r>
    </w:p>
    <w:p>
      <w:pPr>
        <w:pStyle w:val="BodyText"/>
      </w:pPr>
      <w:r>
        <w:t xml:space="preserve">A worker cannot escalate to</w:t>
      </w:r>
      <w:r>
        <w:t xml:space="preserve"> </w:t>
      </w:r>
      <w:r>
        <w:t xml:space="preserve">“</w:t>
      </w:r>
      <w:r>
        <w:t xml:space="preserve">the business.</w:t>
      </w:r>
      <w:r>
        <w:t xml:space="preserve">”</w:t>
      </w:r>
      <w:r>
        <w:t xml:space="preserve"> </w:t>
      </w:r>
      <w:r>
        <w:t xml:space="preserve">It needs an accountable recipient.</w:t>
      </w:r>
    </w:p>
    <w:p>
      <w:pPr>
        <w:pStyle w:val="BodyText"/>
      </w:pPr>
      <w:r>
        <w:t xml:space="preserve">That recipient may be the commission owner, a source owner, an approver for a particular class of action, a designated delegate, or a qualified review function. The role depends on the responsibility. But the route should be explicit before the worker is asked to carry the work continuously.</w:t>
      </w:r>
    </w:p>
    <w:p>
      <w:pPr>
        <w:pStyle w:val="BodyText"/>
      </w:pPr>
      <w:r>
        <w:t xml:space="preserve">The escalation record should answer four things:</w:t>
      </w:r>
    </w:p>
    <w:p>
      <w:pPr>
        <w:pStyle w:val="Compact"/>
        <w:numPr>
          <w:ilvl w:val="0"/>
          <w:numId w:val="1009"/>
        </w:numPr>
      </w:pPr>
      <w:r>
        <w:t xml:space="preserve">What condition caused the worker to stop?</w:t>
      </w:r>
    </w:p>
    <w:p>
      <w:pPr>
        <w:pStyle w:val="Compact"/>
        <w:numPr>
          <w:ilvl w:val="0"/>
          <w:numId w:val="1009"/>
        </w:numPr>
      </w:pPr>
      <w:r>
        <w:t xml:space="preserve">What action did it decline to take?</w:t>
      </w:r>
    </w:p>
    <w:p>
      <w:pPr>
        <w:pStyle w:val="Compact"/>
        <w:numPr>
          <w:ilvl w:val="0"/>
          <w:numId w:val="1009"/>
        </w:numPr>
      </w:pPr>
      <w:r>
        <w:t xml:space="preserve">What evidence does the recipient need to decide?</w:t>
      </w:r>
    </w:p>
    <w:p>
      <w:pPr>
        <w:pStyle w:val="Compact"/>
        <w:numPr>
          <w:ilvl w:val="0"/>
          <w:numId w:val="1009"/>
        </w:numPr>
      </w:pPr>
      <w:r>
        <w:t xml:space="preserve">What choices may the recipient make: approve, reject, narrow, reroute, pause, or retire the commission?</w:t>
      </w:r>
    </w:p>
    <w:p>
      <w:pPr>
        <w:pStyle w:val="FirstParagraph"/>
      </w:pPr>
      <w:r>
        <w:t xml:space="preserve">The condition needs to be observable.</w:t>
      </w:r>
      <w:r>
        <w:t xml:space="preserve"> </w:t>
      </w:r>
      <w:r>
        <w:t xml:space="preserve">“</w:t>
      </w:r>
      <w:r>
        <w:t xml:space="preserve">Escalate when the worker thinks the situation is risky</w:t>
      </w:r>
      <w:r>
        <w:t xml:space="preserve">”</w:t>
      </w:r>
      <w:r>
        <w:t xml:space="preserve"> </w:t>
      </w:r>
      <w:r>
        <w:t xml:space="preserve">sounds reasonable and fails exactly where you need it most. A model can describe uncertainty fluently without recognizing the consequence of the next action. The escalation trigger must connect to a boundary the organization can inspect: a target system, a source class, an amount, a changed record type, an external recipient, a missing approval, or a policy condition.</w:t>
      </w:r>
    </w:p>
    <w:p>
      <w:pPr>
        <w:pStyle w:val="BodyText"/>
      </w:pPr>
      <w:r>
        <w:t xml:space="preserve">This does not require a universal control framework. It requires the sponsor to decide what matters for the responsibility being commissioned.</w:t>
      </w:r>
    </w:p>
    <w:p>
      <w:pPr>
        <w:pStyle w:val="BodyText"/>
      </w:pPr>
      <w:r>
        <w:t xml:space="preserve">Chapter 2 carries the full Employee Zero repair and OAuth account. The authority lesson here is narrower: re-authentication belonged to my account, so the worker stopped at the human boundary and the blocker remained visible.</w:t>
      </w:r>
    </w:p>
    <w:p>
      <w:pPr>
        <w:pStyle w:val="BodyText"/>
      </w:pPr>
      <w:r>
        <w:t xml:space="preserve">A stop can be evidence of stewardship when it preserves the boundary.</w:t>
      </w:r>
    </w:p>
    <w:p>
      <w:pPr>
        <w:pStyle w:val="BodyText"/>
      </w:pPr>
      <w:r>
        <w:t xml:space="preserve">That does not mean every credential problem should halt an entire operation, or that every escalation needs executive attention. It means the commission should distinguish repairable operating defects from decisions and credentials that the worker is not authorized to repair. Otherwise, a system can spend time retrying a question that only a human owner can answer.</w:t>
      </w:r>
    </w:p>
    <w:bookmarkEnd w:id="61"/>
    <w:bookmarkStart w:id="62" w:name="X65a6a29ac3b063d66d9375ada468ea82434a853"/>
    <w:p>
      <w:pPr>
        <w:pStyle w:val="Heading2"/>
      </w:pPr>
      <w:r>
        <w:t xml:space="preserve">Controls should match consequence, not fashion</w:t>
      </w:r>
    </w:p>
    <w:p>
      <w:pPr>
        <w:pStyle w:val="FirstParagraph"/>
      </w:pPr>
      <w:r>
        <w:t xml:space="preserve">Authority design tends to attract universal mandates. Sign every action. Require a human gate everywhere. Give nothing access. Give each worker a giant set of permissions so work does not get blocked. Centralize every decision in one control plane.</w:t>
      </w:r>
    </w:p>
    <w:p>
      <w:pPr>
        <w:pStyle w:val="BodyText"/>
      </w:pPr>
      <w:r>
        <w:t xml:space="preserve">Each shortcut avoids one anxiety by creating another.</w:t>
      </w:r>
    </w:p>
    <w:p>
      <w:pPr>
        <w:pStyle w:val="BodyText"/>
      </w:pPr>
      <w:r>
        <w:t xml:space="preserve">A blanket signing rule can confuse audit records with legal or cryptographic attribution. Digital signatures can support integrity, authentication, and non-repudiation when the use case and identity design require them. A tamper-evident runtime log is not automatically the same thing. Conversely, an ordinary event log may be sufficient for a low-consequence, reversible internal action when the sponsor needs traceability rather than non-repudiation.</w:t>
      </w:r>
    </w:p>
    <w:p>
      <w:pPr>
        <w:pStyle w:val="BodyText"/>
      </w:pPr>
      <w:r>
        <w:t xml:space="preserve">The right control depends on the consequence, the relevant policy, the source and target, and the organization’s obligations.</w:t>
      </w:r>
    </w:p>
    <w:p>
      <w:pPr>
        <w:pStyle w:val="BodyText"/>
      </w:pPr>
      <w:r>
        <w:t xml:space="preserve">NIST’s AI Risk Management Framework is useful here because it presents voluntary, outcome-oriented functions for governing, mapping, measuring, and managing AI risk. ISO/IEC 42001:2023 is useful because it frames an organization-level AI management system. Neither tells an enterprise that every digital worker must use one runtime, one approval pattern, one signature scheme, or one lifecycle record. They are not a substitute for the commission.</w:t>
      </w:r>
    </w:p>
    <w:p>
      <w:pPr>
        <w:pStyle w:val="BodyText"/>
      </w:pPr>
      <w:r>
        <w:t xml:space="preserve">JPMorganChase’s public guidance on agentic-system security makes a similar point from a different angle: safeguards should scale with capability and risk, and authorization, constrained services, auditable actions, machine-to-machine authentication, and safe stopping are all part of the picture. It is a practical reminder that action changes the security and accountability question.</w:t>
      </w:r>
    </w:p>
    <w:p>
      <w:pPr>
        <w:pStyle w:val="BodyText"/>
      </w:pPr>
      <w:r>
        <w:t xml:space="preserve">The sponsor should resist both extremes.</w:t>
      </w:r>
    </w:p>
    <w:p>
      <w:pPr>
        <w:pStyle w:val="BodyText"/>
      </w:pPr>
      <w:r>
        <w:t xml:space="preserve">A low-consequence draft in a private workspace may need an owner, a scope, and a recoverable record, but not an approval ceremony that costs more than the work. An action that changes an external commitment, releases sensitive evidence, alters a production record, or creates financial, legal, or reputational consequence needs more than a confident model and a valid token.</w:t>
      </w:r>
    </w:p>
    <w:p>
      <w:pPr>
        <w:pStyle w:val="BodyText"/>
      </w:pPr>
      <w:r>
        <w:t xml:space="preserve">The point is not to maximize friction. It is to make the friction proportional and visible.</w:t>
      </w:r>
    </w:p>
    <w:bookmarkEnd w:id="62"/>
    <w:bookmarkStart w:id="63" w:name="X22c2fed8716699423dc35260781d443ef8aac35"/>
    <w:p>
      <w:pPr>
        <w:pStyle w:val="Heading2"/>
      </w:pPr>
      <w:r>
        <w:t xml:space="preserve">Put authority in the commissioning record</w:t>
      </w:r>
    </w:p>
    <w:p>
      <w:pPr>
        <w:pStyle w:val="FirstParagraph"/>
      </w:pPr>
      <w:r>
        <w:t xml:space="preserve">A worker’s charter should not say merely that it</w:t>
      </w:r>
      <w:r>
        <w:t xml:space="preserve"> </w:t>
      </w:r>
      <w:r>
        <w:t xml:space="preserve">“</w:t>
      </w:r>
      <w:r>
        <w:t xml:space="preserve">has access to customer data</w:t>
      </w:r>
      <w:r>
        <w:t xml:space="preserve">”</w:t>
      </w:r>
      <w:r>
        <w:t xml:space="preserve"> </w:t>
      </w:r>
      <w:r>
        <w:t xml:space="preserve">or</w:t>
      </w:r>
      <w:r>
        <w:t xml:space="preserve"> </w:t>
      </w:r>
      <w:r>
        <w:t xml:space="preserve">“</w:t>
      </w:r>
      <w:r>
        <w:t xml:space="preserve">can manage the calendar.</w:t>
      </w:r>
      <w:r>
        <w:t xml:space="preserve">”</w:t>
      </w:r>
      <w:r>
        <w:t xml:space="preserve"> </w:t>
      </w:r>
      <w:r>
        <w:t xml:space="preserve">Those phrases are too broad to govern.</w:t>
      </w:r>
    </w:p>
    <w:p>
      <w:pPr>
        <w:pStyle w:val="BodyText"/>
      </w:pPr>
      <w:r>
        <w:t xml:space="preserve">For each responsibility, the commissioning record should allow a sponsor to answer the following in plain language:</w:t>
      </w:r>
    </w:p>
    <w:p>
      <w:pPr>
        <w:pStyle w:val="Compact"/>
        <w:numPr>
          <w:ilvl w:val="0"/>
          <w:numId w:val="1010"/>
        </w:numPr>
      </w:pPr>
      <w:r>
        <w:t xml:space="preserve">What ongoing responsibility is this worker authorized to carry?</w:t>
      </w:r>
    </w:p>
    <w:p>
      <w:pPr>
        <w:pStyle w:val="Compact"/>
        <w:numPr>
          <w:ilvl w:val="0"/>
          <w:numId w:val="1010"/>
        </w:numPr>
      </w:pPr>
      <w:r>
        <w:t xml:space="preserve">Which actions are inside that responsibility, and which are explicitly outside it?</w:t>
      </w:r>
    </w:p>
    <w:p>
      <w:pPr>
        <w:pStyle w:val="Compact"/>
        <w:numPr>
          <w:ilvl w:val="0"/>
          <w:numId w:val="1010"/>
        </w:numPr>
      </w:pPr>
      <w:r>
        <w:t xml:space="preserve">Which sources and systems may it use, through which named principal or owner route?</w:t>
      </w:r>
    </w:p>
    <w:p>
      <w:pPr>
        <w:pStyle w:val="Compact"/>
        <w:numPr>
          <w:ilvl w:val="0"/>
          <w:numId w:val="1010"/>
        </w:numPr>
      </w:pPr>
      <w:r>
        <w:t xml:space="preserve">What may it read, create, modify, submit, or release?</w:t>
      </w:r>
    </w:p>
    <w:p>
      <w:pPr>
        <w:pStyle w:val="Compact"/>
        <w:numPr>
          <w:ilvl w:val="0"/>
          <w:numId w:val="1010"/>
        </w:numPr>
      </w:pPr>
      <w:r>
        <w:t xml:space="preserve">What must be approved case by case?</w:t>
      </w:r>
    </w:p>
    <w:p>
      <w:pPr>
        <w:pStyle w:val="Compact"/>
        <w:numPr>
          <w:ilvl w:val="0"/>
          <w:numId w:val="1010"/>
        </w:numPr>
      </w:pPr>
      <w:r>
        <w:t xml:space="preserve">What conditions require escalation before action?</w:t>
      </w:r>
    </w:p>
    <w:p>
      <w:pPr>
        <w:pStyle w:val="Compact"/>
        <w:numPr>
          <w:ilvl w:val="0"/>
          <w:numId w:val="1010"/>
        </w:numPr>
      </w:pPr>
      <w:r>
        <w:t xml:space="preserve">Who owns the source, the approval, the exception decision, and the continuing commission?</w:t>
      </w:r>
    </w:p>
    <w:p>
      <w:pPr>
        <w:pStyle w:val="Compact"/>
        <w:numPr>
          <w:ilvl w:val="0"/>
          <w:numId w:val="1010"/>
        </w:numPr>
      </w:pPr>
      <w:r>
        <w:t xml:space="preserve">Which transport paths are approved for releasing evidence, and what happens when one cannot safely do so?</w:t>
      </w:r>
    </w:p>
    <w:p>
      <w:pPr>
        <w:pStyle w:val="Compact"/>
        <w:numPr>
          <w:ilvl w:val="0"/>
          <w:numId w:val="1010"/>
        </w:numPr>
      </w:pPr>
      <w:r>
        <w:t xml:space="preserve">What record will show the actor, authority basis, evidence used, action proposed or taken, and disposition?</w:t>
      </w:r>
    </w:p>
    <w:p>
      <w:pPr>
        <w:pStyle w:val="FirstParagraph"/>
      </w:pPr>
      <w:r>
        <w:t xml:space="preserve">This is not a request for a giant policy document. It is a demand for answers that survive contact with a specific action.</w:t>
      </w:r>
    </w:p>
    <w:p>
      <w:pPr>
        <w:pStyle w:val="BodyText"/>
      </w:pPr>
      <w:r>
        <w:t xml:space="preserve">The record also needs room for a negative answer. A worker may be authorized to prepare an evidence pack but not to receive one source through the current interface. A worker may be authorized to read an operational system but not to change it. A commission may need to remain constrained until a transport path is repaired or an approval role is assigned.</w:t>
      </w:r>
    </w:p>
    <w:p>
      <w:pPr>
        <w:pStyle w:val="BodyText"/>
      </w:pPr>
      <w:r>
        <w:t xml:space="preserve">Those are not embarrassing omissions. They are the operating reality the sponsor is supposed to see.</w:t>
      </w:r>
    </w:p>
    <w:p>
      <w:pPr>
        <w:pStyle w:val="BodyText"/>
      </w:pPr>
      <w:r>
        <w:t xml:space="preserve">The worst alternative is to hide a missing boundary inside a generic status such as</w:t>
      </w:r>
      <w:r>
        <w:t xml:space="preserve"> </w:t>
      </w:r>
      <w:r>
        <w:t xml:space="preserve">“</w:t>
      </w:r>
      <w:r>
        <w:t xml:space="preserve">enabled,</w:t>
      </w:r>
      <w:r>
        <w:t xml:space="preserve">”</w:t>
      </w:r>
      <w:r>
        <w:t xml:space="preserve"> </w:t>
      </w:r>
      <w:r>
        <w:t xml:space="preserve">“</w:t>
      </w:r>
      <w:r>
        <w:t xml:space="preserve">connected,</w:t>
      </w:r>
      <w:r>
        <w:t xml:space="preserve">”</w:t>
      </w:r>
      <w:r>
        <w:t xml:space="preserve"> </w:t>
      </w:r>
      <w:r>
        <w:t xml:space="preserve">or</w:t>
      </w:r>
      <w:r>
        <w:t xml:space="preserve"> </w:t>
      </w:r>
      <w:r>
        <w:t xml:space="preserve">“</w:t>
      </w:r>
      <w:r>
        <w:t xml:space="preserve">in production.</w:t>
      </w:r>
      <w:r>
        <w:t xml:space="preserve">”</w:t>
      </w:r>
      <w:r>
        <w:t xml:space="preserve"> </w:t>
      </w:r>
      <w:r>
        <w:t xml:space="preserve">Those words tell you almost nothing about who authorized what. A worker can be technically live and organizationally unready. It can be useful and still need a narrower commission. It can have a legitimate ongoing responsibility while one evidence path remains unavailable.</w:t>
      </w:r>
    </w:p>
    <w:p>
      <w:pPr>
        <w:pStyle w:val="BodyText"/>
      </w:pPr>
      <w:r>
        <w:t xml:space="preserve">Keeping the dimensions separate lets the enterprise make a reversible decision instead of forcing a binary one.</w:t>
      </w:r>
    </w:p>
    <w:bookmarkEnd w:id="63"/>
    <w:bookmarkStart w:id="64" w:name="the-accountability-test"/>
    <w:p>
      <w:pPr>
        <w:pStyle w:val="Heading2"/>
      </w:pPr>
      <w:r>
        <w:t xml:space="preserve">The accountability test</w:t>
      </w:r>
    </w:p>
    <w:p>
      <w:pPr>
        <w:pStyle w:val="FirstParagraph"/>
      </w:pPr>
      <w:r>
        <w:t xml:space="preserve">Before you continue a commission, pick one consequential action the worker might encounter and ask for the answer in one sentence:</w:t>
      </w:r>
    </w:p>
    <w:p>
      <w:pPr>
        <w:pStyle w:val="BlockText"/>
      </w:pPr>
      <w:r>
        <w:t xml:space="preserve">This named worker may do this action, against this source or target, within this scope, because this owner authorized it; this approval is required before this consequence; and this person receives the escalation if the boundary is reached.</w:t>
      </w:r>
    </w:p>
    <w:p>
      <w:pPr>
        <w:pStyle w:val="FirstParagraph"/>
      </w:pPr>
      <w:r>
        <w:t xml:space="preserve">If that sentence cannot be completed without hand-waving, the commission is not ready for that action.</w:t>
      </w:r>
    </w:p>
    <w:p>
      <w:pPr>
        <w:pStyle w:val="BodyText"/>
      </w:pPr>
      <w:r>
        <w:t xml:space="preserve">The answer may lead you to grant a bounded capability, add a source permission, build or repair an evidence path, name an approver, narrow the responsibility, or refuse the action entirely. Each can be the right result. The sponsor does not need to make every worker more autonomous. The sponsor needs to make each continuing responsibility more attributable.</w:t>
      </w:r>
    </w:p>
    <w:p>
      <w:pPr>
        <w:pStyle w:val="BodyText"/>
      </w:pPr>
      <w:r>
        <w:t xml:space="preserve">That returns us to the governing question: should this named digital worker be commissioned to own this ongoing responsibility now—and if so, under whose authority, with what evidence, lifecycle, evaluation, and stop path?</w:t>
      </w:r>
    </w:p>
    <w:p>
      <w:pPr>
        <w:pStyle w:val="BodyText"/>
      </w:pPr>
      <w:r>
        <w:t xml:space="preserve">Authority is not a property the worker acquires when a tool begins to work. It is an organizational commitment that remains inspectable when the tool does not.</w:t>
      </w:r>
    </w:p>
    <w:p>
      <w:pPr>
        <w:pStyle w:val="BodyText"/>
      </w:pPr>
      <w:r>
        <w:t xml:space="preserve">The authority decision sets up the next question: once a worker is allowed to act, what evidence shows that it is stewarding the responsibility rather than merely completing isolated tasks? Chapter 5 turns from permission to continuation.</w:t>
      </w:r>
    </w:p>
    <w:bookmarkEnd w:id="64"/>
    <w:bookmarkStart w:id="71" w:name="sources-and-evidence-notes-3"/>
    <w:p>
      <w:pPr>
        <w:pStyle w:val="Heading2"/>
      </w:pPr>
      <w:r>
        <w:t xml:space="preserve">Sources and evidence notes</w:t>
      </w:r>
    </w:p>
    <w:p>
      <w:pPr>
        <w:numPr>
          <w:ilvl w:val="0"/>
          <w:numId w:val="1011"/>
        </w:numPr>
      </w:pPr>
      <w:r>
        <w:rPr>
          <w:i/>
          <w:iCs/>
        </w:rPr>
        <w:t xml:space="preserve">The book’s internal planning repository</w:t>
      </w:r>
      <w:r>
        <w:t xml:space="preserve"> </w:t>
      </w:r>
      <w:r>
        <w:t xml:space="preserve">— Chapter 4 purpose, required distinctions, predecessor boundary, external-context limits, exclusions, and 3,400–4,200-word target.</w:t>
      </w:r>
    </w:p>
    <w:p>
      <w:pPr>
        <w:numPr>
          <w:ilvl w:val="0"/>
          <w:numId w:val="1011"/>
        </w:numPr>
      </w:pPr>
      <w:r>
        <w:rPr>
          <w:i/>
          <w:iCs/>
        </w:rPr>
        <w:t xml:space="preserve">The book’s internal planning repository</w:t>
      </w:r>
      <w:r>
        <w:t xml:space="preserve"> </w:t>
      </w:r>
      <w:r>
        <w:t xml:space="preserve">— Chapter promise: distinguish permission, transport, approval, escalation, and attribution; excludes rewriting the predecessor’s Authority Envelope and a universal cryptographic mandate.</w:t>
      </w:r>
    </w:p>
    <w:p>
      <w:pPr>
        <w:numPr>
          <w:ilvl w:val="0"/>
          <w:numId w:val="1011"/>
        </w:numPr>
      </w:pPr>
      <w:r>
        <w:rPr>
          <w:i/>
          <w:iCs/>
        </w:rPr>
        <w:t xml:space="preserve">The book’s internal planning repository</w:t>
      </w:r>
      <w:r>
        <w:t xml:space="preserve"> </w:t>
      </w:r>
      <w:r>
        <w:t xml:space="preserve">— Approved governing question, operating definition of commissioning, human-accountability boundary, evidence ceiling, and three-book exclusions.</w:t>
      </w:r>
    </w:p>
    <w:p>
      <w:pPr>
        <w:numPr>
          <w:ilvl w:val="0"/>
          <w:numId w:val="1011"/>
        </w:numPr>
      </w:pPr>
      <w:r>
        <w:rPr>
          <w:i/>
          <w:iCs/>
        </w:rPr>
        <w:t xml:space="preserve">The book’s internal planning repository</w:t>
      </w:r>
      <w:r>
        <w:t xml:space="preserve"> </w:t>
      </w:r>
      <w:r>
        <w:t xml:space="preserve">— Approved reader and decision boundary: enterprise workforce governance, not agent-team construction, autonomy-loop mechanics, or AI-created-capacity allocation.</w:t>
      </w:r>
    </w:p>
    <w:p>
      <w:pPr>
        <w:numPr>
          <w:ilvl w:val="0"/>
          <w:numId w:val="1011"/>
        </w:numPr>
      </w:pPr>
      <w:r>
        <w:rPr>
          <w:i/>
          <w:iCs/>
        </w:rPr>
        <w:t xml:space="preserve">The book’s internal research ledger</w:t>
      </w:r>
      <w:r>
        <w:t xml:space="preserve"> </w:t>
      </w:r>
      <w:r>
        <w:t xml:space="preserve">— C08–C10 scope the Outlook grant, source-release-path distinction, and human-only OAuth blocker to Lee’s estate; C36–C39 scope NIST, ISO, signatures, and audit records.</w:t>
      </w:r>
    </w:p>
    <w:p>
      <w:pPr>
        <w:numPr>
          <w:ilvl w:val="0"/>
          <w:numId w:val="1011"/>
        </w:numPr>
      </w:pPr>
      <w:r>
        <w:rPr>
          <w:i/>
          <w:iCs/>
        </w:rPr>
        <w:t xml:space="preserve">The book’s internal research ledger</w:t>
      </w:r>
      <w:r>
        <w:t xml:space="preserve"> </w:t>
      </w:r>
      <w:r>
        <w:t xml:space="preserve">— D8–D13 and D62 support local authority and approval examples.</w:t>
      </w:r>
    </w:p>
    <w:p>
      <w:pPr>
        <w:numPr>
          <w:ilvl w:val="0"/>
          <w:numId w:val="1011"/>
        </w:numPr>
      </w:pPr>
      <w:r>
        <w:rPr>
          <w:i/>
          <w:iCs/>
        </w:rPr>
        <w:t xml:space="preserve">The book’s internal research ledger</w:t>
      </w:r>
      <w:r>
        <w:t xml:space="preserve"> </w:t>
      </w:r>
      <w:r>
        <w:t xml:space="preserve">—</w:t>
      </w:r>
      <w:r>
        <w:t xml:space="preserve"> </w:t>
      </w:r>
      <w:r>
        <w:t xml:space="preserve">“</w:t>
      </w:r>
      <w:r>
        <w:t xml:space="preserve">Outlook authority gate</w:t>
      </w:r>
      <w:r>
        <w:t xml:space="preserve">”</w:t>
      </w:r>
      <w:r>
        <w:t xml:space="preserve"> </w:t>
      </w:r>
      <w:r>
        <w:t xml:space="preserve">and</w:t>
      </w:r>
      <w:r>
        <w:t xml:space="preserve"> </w:t>
      </w:r>
      <w:r>
        <w:t xml:space="preserve">“</w:t>
      </w:r>
      <w:r>
        <w:t xml:space="preserve">Employee Zero unhealthy</w:t>
      </w:r>
      <w:r>
        <w:t xml:space="preserve">”</w:t>
      </w:r>
      <w:r>
        <w:t xml:space="preserve"> </w:t>
      </w:r>
      <w:r>
        <w:t xml:space="preserve">cases.</w:t>
      </w:r>
    </w:p>
    <w:p>
      <w:pPr>
        <w:numPr>
          <w:ilvl w:val="0"/>
          <w:numId w:val="1011"/>
        </w:numPr>
      </w:pPr>
      <w:r>
        <w:rPr>
          <w:i/>
          <w:iCs/>
        </w:rPr>
        <w:t xml:space="preserve">The book’s internal research ledger</w:t>
      </w:r>
      <w:r>
        <w:t xml:space="preserve"> </w:t>
      </w:r>
      <w:r>
        <w:t xml:space="preserve">— D60 is admitted only as a clean-slate design decision separating grants/source ACLs from transport refusal.</w:t>
      </w:r>
    </w:p>
    <w:p>
      <w:pPr>
        <w:numPr>
          <w:ilvl w:val="0"/>
          <w:numId w:val="1011"/>
        </w:numPr>
      </w:pPr>
      <w:r>
        <w:rPr>
          <w:i/>
          <w:iCs/>
        </w:rPr>
        <w:t xml:space="preserve">The author’s operating decision log</w:t>
      </w:r>
      <w:r>
        <w:t xml:space="preserve"> </w:t>
      </w:r>
      <w:r>
        <w:t xml:space="preserve">— D8–D14 document the Board credential boundary, Outlook approval and grant path, transport-release restriction, and the OAuth blocker; D60 documents the proposed chief-kb authority-layer design.</w:t>
      </w:r>
    </w:p>
    <w:p>
      <w:pPr>
        <w:numPr>
          <w:ilvl w:val="0"/>
          <w:numId w:val="1011"/>
        </w:numPr>
      </w:pPr>
      <w:r>
        <w:rPr>
          <w:rStyle w:val="VerbatimChar"/>
        </w:rPr>
        <w:t xml:space="preserve">/home/lee/projects/lee-books/books/Building Autonomous AI Employees/chapters/part-3/ch-11-the-blast-radius-and-the-sandbox.md</w:t>
      </w:r>
      <w:r>
        <w:t xml:space="preserve"> </w:t>
      </w:r>
      <w:r>
        <w:t xml:space="preserve">— Source for predecessor attribution only: blast radius, reversibility, stop, and escalation are capability-level controls owned by that book.</w:t>
      </w:r>
    </w:p>
    <w:p>
      <w:pPr>
        <w:numPr>
          <w:ilvl w:val="0"/>
          <w:numId w:val="1011"/>
        </w:numPr>
      </w:pPr>
      <w:hyperlink r:id="rId65">
        <w:r>
          <w:rPr>
            <w:rStyle w:val="Hyperlink"/>
          </w:rPr>
          <w:t xml:space="preserve">NIST AI RMF Core (2023)</w:t>
        </w:r>
      </w:hyperlink>
      <w:r>
        <w:t xml:space="preserve"> </w:t>
      </w:r>
      <w:r>
        <w:t xml:space="preserve">and</w:t>
      </w:r>
      <w:r>
        <w:t xml:space="preserve"> </w:t>
      </w:r>
      <w:hyperlink r:id="rId66">
        <w:r>
          <w:rPr>
            <w:rStyle w:val="Hyperlink"/>
          </w:rPr>
          <w:t xml:space="preserve">NIST AI RMF overview</w:t>
        </w:r>
      </w:hyperlink>
      <w:r>
        <w:t xml:space="preserve"> </w:t>
      </w:r>
      <w:r>
        <w:t xml:space="preserve">— NIST’s voluntary Govern, Map, Measure, and Manage functions; not an agent-specific operating-model mandate.</w:t>
      </w:r>
    </w:p>
    <w:p>
      <w:pPr>
        <w:numPr>
          <w:ilvl w:val="0"/>
          <w:numId w:val="1011"/>
        </w:numPr>
      </w:pPr>
      <w:hyperlink r:id="rId67">
        <w:r>
          <w:rPr>
            <w:rStyle w:val="Hyperlink"/>
          </w:rPr>
          <w:t xml:space="preserve">ISO/IEC 42001:2023 preview</w:t>
        </w:r>
      </w:hyperlink>
      <w:r>
        <w:t xml:space="preserve"> </w:t>
      </w:r>
      <w:r>
        <w:t xml:space="preserve">— Organization-level, risk-based AI management-system framing; not a prescribed worker runtime, approval workflow, or signature requirement.</w:t>
      </w:r>
    </w:p>
    <w:p>
      <w:pPr>
        <w:numPr>
          <w:ilvl w:val="0"/>
          <w:numId w:val="1011"/>
        </w:numPr>
      </w:pPr>
      <w:hyperlink r:id="rId68">
        <w:r>
          <w:rPr>
            <w:rStyle w:val="Hyperlink"/>
          </w:rPr>
          <w:t xml:space="preserve">JPMorganChase,</w:t>
        </w:r>
        <w:r>
          <w:rPr>
            <w:rStyle w:val="Hyperlink"/>
          </w:rPr>
          <w:t xml:space="preserve"> </w:t>
        </w:r>
        <w:r>
          <w:rPr>
            <w:rStyle w:val="Hyperlink"/>
          </w:rPr>
          <w:t xml:space="preserve">“</w:t>
        </w:r>
        <w:r>
          <w:rPr>
            <w:rStyle w:val="Hyperlink"/>
          </w:rPr>
          <w:t xml:space="preserve">Securing the next generation of AI agents</w:t>
        </w:r>
        <w:r>
          <w:rPr>
            <w:rStyle w:val="Hyperlink"/>
          </w:rPr>
          <w:t xml:space="preserve">”</w:t>
        </w:r>
        <w:r>
          <w:rPr>
            <w:rStyle w:val="Hyperlink"/>
          </w:rPr>
          <w:t xml:space="preserve"> </w:t>
        </w:r>
        <w:r>
          <w:rPr>
            <w:rStyle w:val="Hyperlink"/>
          </w:rPr>
          <w:t xml:space="preserve">(2026-03-23)</w:t>
        </w:r>
      </w:hyperlink>
      <w:r>
        <w:t xml:space="preserve"> </w:t>
      </w:r>
      <w:r>
        <w:t xml:space="preserve">— Corporate security guidance on capability-proportional safeguards, authorization, constraints, auditability, authentication, and stopping.</w:t>
      </w:r>
    </w:p>
    <w:p>
      <w:pPr>
        <w:numPr>
          <w:ilvl w:val="0"/>
          <w:numId w:val="1011"/>
        </w:numPr>
      </w:pPr>
      <w:hyperlink r:id="rId69">
        <w:r>
          <w:rPr>
            <w:rStyle w:val="Hyperlink"/>
          </w:rPr>
          <w:t xml:space="preserve">NIST FIPS 186-5, Digital Signature Standard (2023)</w:t>
        </w:r>
      </w:hyperlink>
      <w:r>
        <w:t xml:space="preserve"> </w:t>
      </w:r>
      <w:r>
        <w:t xml:space="preserve">and</w:t>
      </w:r>
      <w:r>
        <w:t xml:space="preserve"> </w:t>
      </w:r>
      <w:hyperlink r:id="rId70">
        <w:r>
          <w:rPr>
            <w:rStyle w:val="Hyperlink"/>
          </w:rPr>
          <w:t xml:space="preserve">NIST SP 800-89</w:t>
        </w:r>
      </w:hyperlink>
      <w:r>
        <w:t xml:space="preserve"> </w:t>
      </w:r>
      <w:r>
        <w:t xml:space="preserve">— Narrow scope for digital-signature integrity, authentication, and non-repudiation properties; they do not establish a requirement to sign every AI action.</w:t>
      </w:r>
    </w:p>
    <w:p>
      <w:r>
        <w:pict>
          <v:rect style="width:0;height:1.5pt" o:hralign="center" o:hrstd="t" o:hr="t"/>
        </w:pict>
      </w:r>
    </w:p>
    <w:bookmarkEnd w:id="71"/>
    <w:bookmarkEnd w:id="72"/>
    <w:bookmarkStart w:id="92" w:name="chapter-5-evidence-for-stewardship"/>
    <w:p>
      <w:pPr>
        <w:pStyle w:val="Heading1"/>
      </w:pPr>
      <w:r>
        <w:t xml:space="preserve">Chapter 5 — Evidence for Stewardship</w:t>
      </w:r>
    </w:p>
    <w:p>
      <w:pPr>
        <w:pStyle w:val="FirstParagraph"/>
      </w:pPr>
      <w:r>
        <w:t xml:space="preserve">A test can tell you whether a system completed a task. It cannot, by itself, tell you whether to let a named digital worker continue owning an ongoing responsibility.</w:t>
      </w:r>
    </w:p>
    <w:p>
      <w:pPr>
        <w:pStyle w:val="BodyText"/>
      </w:pPr>
      <w:r>
        <w:t xml:space="preserve">That distinction matters because the decision is different. A task asks,</w:t>
      </w:r>
      <w:r>
        <w:t xml:space="preserve"> </w:t>
      </w:r>
      <w:r>
        <w:t xml:space="preserve">“</w:t>
      </w:r>
      <w:r>
        <w:t xml:space="preserve">Did it work this time?</w:t>
      </w:r>
      <w:r>
        <w:t xml:space="preserve">”</w:t>
      </w:r>
      <w:r>
        <w:t xml:space="preserve"> </w:t>
      </w:r>
      <w:r>
        <w:t xml:space="preserve">Stewardship asks,</w:t>
      </w:r>
      <w:r>
        <w:t xml:space="preserve"> </w:t>
      </w:r>
      <w:r>
        <w:t xml:space="preserve">“</w:t>
      </w:r>
      <w:r>
        <w:t xml:space="preserve">What has this worker been responsible for over time, what did it actually maintain, where did it need help, what became less clear, and what should the owner do next?</w:t>
      </w:r>
      <w:r>
        <w:t xml:space="preserve">”</w:t>
      </w:r>
    </w:p>
    <w:p>
      <w:pPr>
        <w:pStyle w:val="BodyText"/>
      </w:pPr>
      <w:r>
        <w:t xml:space="preserve">A strong benchmark result is useful. A clean reviewer verdict is useful. A successful pilot is useful. None of them removes the sponsor’s responsibility to decide whether the current commission should continue unchanged, be narrowed, be paused, be redesigned, or end.</w:t>
      </w:r>
    </w:p>
    <w:p>
      <w:pPr>
        <w:pStyle w:val="BodyText"/>
      </w:pPr>
      <w:r>
        <w:t xml:space="preserve">The governing question remains practical:</w:t>
      </w:r>
    </w:p>
    <w:p>
      <w:pPr>
        <w:pStyle w:val="BlockText"/>
      </w:pPr>
      <w:r>
        <w:t xml:space="preserve">Should this named digital worker be commissioned to own this ongoing responsibility now—and if so, under whose authority, with what evidence, lifecycle, evaluation, and stop path?</w:t>
      </w:r>
    </w:p>
    <w:p>
      <w:pPr>
        <w:pStyle w:val="FirstParagraph"/>
      </w:pPr>
      <w:r>
        <w:t xml:space="preserve">Once a worker has been commissioned, the same question returns in a new form: should this commission continue now?</w:t>
      </w:r>
    </w:p>
    <w:p>
      <w:pPr>
        <w:pStyle w:val="BodyText"/>
      </w:pPr>
      <w:r>
        <w:t xml:space="preserve">Do not answer that with a smiley-face status, a demo clip, or a single performance number. The useful evidence is proportional to the decision in front of you.</w:t>
      </w:r>
    </w:p>
    <w:p>
      <w:pPr>
        <w:pStyle w:val="BodyText"/>
      </w:pPr>
      <w:r>
        <w:t xml:space="preserve">A low-consequence worker that prepares a draft for a named reviewer does not need the same evidence as a worker that maintains a recurring operational obligation, moves information between systems, or influences an external commitment. A reversible mistake may justify a small sample and a quick correction. A persistent or consequential mistake needs a better record: what happened, who approved it, what was checked, what changed, and whether the failure was visible before it became expensive.</w:t>
      </w:r>
    </w:p>
    <w:p>
      <w:pPr>
        <w:pStyle w:val="BodyText"/>
      </w:pPr>
      <w:r>
        <w:t xml:space="preserve">That is not an argument for checking everything forever. It is an argument for refusing to call a worker well governed when the organization cannot say what it has observed.</w:t>
      </w:r>
    </w:p>
    <w:bookmarkStart w:id="73" w:name="Xa2d00b5c12c0a32ee3767da8553bf4c2be58c1d"/>
    <w:p>
      <w:pPr>
        <w:pStyle w:val="Heading2"/>
      </w:pPr>
      <w:r>
        <w:t xml:space="preserve">A completed task is not a maintained responsibility</w:t>
      </w:r>
    </w:p>
    <w:p>
      <w:pPr>
        <w:pStyle w:val="FirstParagraph"/>
      </w:pPr>
      <w:r>
        <w:t xml:space="preserve">A completed task has a beginning, an output, and a test of some kind. The output may be excellent. It may be better than the previous manual result. The task may even require tools, planning, retries, and review.</w:t>
      </w:r>
    </w:p>
    <w:p>
      <w:pPr>
        <w:pStyle w:val="BodyText"/>
      </w:pPr>
      <w:r>
        <w:t xml:space="preserve">Still, a responsibility adds time.</w:t>
      </w:r>
    </w:p>
    <w:p>
      <w:pPr>
        <w:pStyle w:val="BodyText"/>
      </w:pPr>
      <w:r>
        <w:t xml:space="preserve">A worker carrying an ongoing responsibility has to meet an owner-defined condition repeatedly as reality changes. Its inputs change. Its dependencies change. The people receiving its work change. Its authority may be narrowed or expanded. A previously acceptable cadence may become wasteful. A clean run may be followed by a failure that exposes a missing handoff, an unavailable credential, an unmeasured cost, or a condition no one thought to monitor.</w:t>
      </w:r>
    </w:p>
    <w:p>
      <w:pPr>
        <w:pStyle w:val="BodyText"/>
      </w:pPr>
      <w:r>
        <w:t xml:space="preserve">The temptation is to turn this into a maturity ladder: one score that says a worker is immature, managed, autonomous, or ready. That feels efficient because it compresses a complicated judgment into a number. It also hides the thing the sponsor needs to see.</w:t>
      </w:r>
    </w:p>
    <w:p>
      <w:pPr>
        <w:pStyle w:val="BodyText"/>
      </w:pPr>
      <w:r>
        <w:t xml:space="preserve">A worker may be producing the right recurring outcome while consuming too much human attention. It may stay within its authority while leaving handoffs unacknowledged. It may have pristine logs but no useful way to recover after a dependency changes. It may be technically healthy while its responsibility no longer belongs in the portfolio. It may be cheap to run and still be the wrong answer to the problem.</w:t>
      </w:r>
    </w:p>
    <w:p>
      <w:pPr>
        <w:pStyle w:val="BodyText"/>
      </w:pPr>
      <w:r>
        <w:t xml:space="preserve">Those are different conditions. They should remain different conditions.</w:t>
      </w:r>
    </w:p>
    <w:p>
      <w:pPr>
        <w:pStyle w:val="BodyText"/>
      </w:pPr>
      <w:r>
        <w:t xml:space="preserve">The practical unit of evaluation is therefore one named digital worker carrying one bounded ongoing responsibility. Do not grade the underlying model in isolation. Do not allow one successful task to stand in for a history of stewardship. And do not let the worker grade its own consequential disposition.</w:t>
      </w:r>
    </w:p>
    <w:p>
      <w:pPr>
        <w:pStyle w:val="BodyText"/>
      </w:pPr>
      <w:r>
        <w:t xml:space="preserve">The named human or organizational owner remains responsible for that judgment.</w:t>
      </w:r>
    </w:p>
    <w:bookmarkEnd w:id="73"/>
    <w:bookmarkStart w:id="81" w:name="seven-questions-before-continuation"/>
    <w:p>
      <w:pPr>
        <w:pStyle w:val="Heading2"/>
      </w:pPr>
      <w:r>
        <w:t xml:space="preserve">Seven questions before continuation</w:t>
      </w:r>
    </w:p>
    <w:p>
      <w:pPr>
        <w:pStyle w:val="FirstParagraph"/>
      </w:pPr>
      <w:r>
        <w:t xml:space="preserve">A useful review asks seven separate questions. The point is not to create a larger dashboard. The point is to prevent one green signal from hiding a red one.</w:t>
      </w:r>
    </w:p>
    <w:bookmarkStart w:id="74" w:name="Xa6993254ee0557470f7c58849a9aa7f09df3448"/>
    <w:p>
      <w:pPr>
        <w:pStyle w:val="Heading3"/>
      </w:pPr>
      <w:r>
        <w:t xml:space="preserve">1. Is the responsibility’s outcome being maintained?</w:t>
      </w:r>
    </w:p>
    <w:p>
      <w:pPr>
        <w:pStyle w:val="FirstParagraph"/>
      </w:pPr>
      <w:r>
        <w:t xml:space="preserve">Start with the obligation, not the output.</w:t>
      </w:r>
    </w:p>
    <w:p>
      <w:pPr>
        <w:pStyle w:val="BodyText"/>
      </w:pPr>
      <w:r>
        <w:t xml:space="preserve">What is the recurring condition this worker was commissioned to maintain? Who owns the definition of success? What dated evidence shows the condition was met, degraded, or became impossible to measure?</w:t>
      </w:r>
    </w:p>
    <w:p>
      <w:pPr>
        <w:pStyle w:val="BodyText"/>
      </w:pPr>
      <w:r>
        <w:t xml:space="preserve">“</w:t>
      </w:r>
      <w:r>
        <w:t xml:space="preserve">Reports were produced</w:t>
      </w:r>
      <w:r>
        <w:t xml:space="preserve">”</w:t>
      </w:r>
      <w:r>
        <w:t xml:space="preserve"> </w:t>
      </w:r>
      <w:r>
        <w:t xml:space="preserve">is not necessarily an outcome.</w:t>
      </w:r>
      <w:r>
        <w:t xml:space="preserve"> </w:t>
      </w:r>
      <w:r>
        <w:t xml:space="preserve">“</w:t>
      </w:r>
      <w:r>
        <w:t xml:space="preserve">The designated owner received a current, usable report in time to act, with exceptions visible</w:t>
      </w:r>
      <w:r>
        <w:t xml:space="preserve">”</w:t>
      </w:r>
      <w:r>
        <w:t xml:space="preserve"> </w:t>
      </w:r>
      <w:r>
        <w:t xml:space="preserve">is closer.</w:t>
      </w:r>
      <w:r>
        <w:t xml:space="preserve"> </w:t>
      </w:r>
      <w:r>
        <w:t xml:space="preserve">“</w:t>
      </w:r>
      <w:r>
        <w:t xml:space="preserve">The system ran every hour</w:t>
      </w:r>
      <w:r>
        <w:t xml:space="preserve">”</w:t>
      </w:r>
      <w:r>
        <w:t xml:space="preserve"> </w:t>
      </w:r>
      <w:r>
        <w:t xml:space="preserve">is not necessarily an outcome.</w:t>
      </w:r>
      <w:r>
        <w:t xml:space="preserve"> </w:t>
      </w:r>
      <w:r>
        <w:t xml:space="preserve">“</w:t>
      </w:r>
      <w:r>
        <w:t xml:space="preserve">The queue was kept within an agreed condition, and the owner could see exceptions requiring attention</w:t>
      </w:r>
      <w:r>
        <w:t xml:space="preserve">”</w:t>
      </w:r>
      <w:r>
        <w:t xml:space="preserve"> </w:t>
      </w:r>
      <w:r>
        <w:t xml:space="preserve">is closer still.</w:t>
      </w:r>
    </w:p>
    <w:p>
      <w:pPr>
        <w:pStyle w:val="BodyText"/>
      </w:pPr>
      <w:r>
        <w:t xml:space="preserve">This is where a commission earns its specificity. If the owner cannot name the maintained condition, the worker may be doing tasks without actually owning a responsibility. The right disposition may be to redesign the charter rather than to demand more model capability.</w:t>
      </w:r>
    </w:p>
    <w:p>
      <w:pPr>
        <w:pStyle w:val="BodyText"/>
      </w:pPr>
      <w:r>
        <w:t xml:space="preserve">Outcome evidence should include the ordinary runs and the exceptions. A recurring responsibility is defined just as much by what happens when inputs are missing, a dependency is stale, or a handoff is not accepted as by the happy path.</w:t>
      </w:r>
    </w:p>
    <w:bookmarkEnd w:id="74"/>
    <w:bookmarkStart w:id="75" w:name="did-the-work-stay-within-its-authority"/>
    <w:p>
      <w:pPr>
        <w:pStyle w:val="Heading3"/>
      </w:pPr>
      <w:r>
        <w:t xml:space="preserve">2. Did the work stay within its authority?</w:t>
      </w:r>
    </w:p>
    <w:p>
      <w:pPr>
        <w:pStyle w:val="FirstParagraph"/>
      </w:pPr>
      <w:r>
        <w:t xml:space="preserve">Outcome is not enough. A worker can produce a useful result by taking action it was not authorized to take, bypassing a required approval, or using a path that makes the result impossible to attribute later.</w:t>
      </w:r>
    </w:p>
    <w:p>
      <w:pPr>
        <w:pStyle w:val="BodyText"/>
      </w:pPr>
      <w:r>
        <w:t xml:space="preserve">The review needs action and approval receipts appropriate to the commission: what the worker read, wrote, proposed, triggered, or escalated; who approved consequential steps; which attempts were denied; and whether the evidence path can be inspected.</w:t>
      </w:r>
    </w:p>
    <w:p>
      <w:pPr>
        <w:pStyle w:val="BodyText"/>
      </w:pPr>
      <w:r>
        <w:t xml:space="preserve">This does not make every action a ceremony. It makes authority visible where the consequence requires it.</w:t>
      </w:r>
    </w:p>
    <w:p>
      <w:pPr>
        <w:pStyle w:val="BodyText"/>
      </w:pPr>
      <w:r>
        <w:t xml:space="preserve">Chapter 2 carries the full Employee Zero repair and OAuth account. For stewardship, the important evidence is that three defects were repaired and verified through governed runs, then the human-only blocker was classified rather than retried.</w:t>
      </w:r>
    </w:p>
    <w:p>
      <w:pPr>
        <w:pStyle w:val="BodyText"/>
      </w:pPr>
      <w:r>
        <w:t xml:space="preserve">That distinction should be ordinary, not embarrassing. A worker that silently works around a human-only boundary is a problem. A worker that identifies the boundary, stops there, and gives the owner a precise action is producing evidence the owner can use.</w:t>
      </w:r>
    </w:p>
    <w:bookmarkEnd w:id="75"/>
    <w:bookmarkStart w:id="76" w:name="can-the-claim-be-reconstructed"/>
    <w:p>
      <w:pPr>
        <w:pStyle w:val="Heading3"/>
      </w:pPr>
      <w:r>
        <w:t xml:space="preserve">3. Can the claim be reconstructed?</w:t>
      </w:r>
    </w:p>
    <w:p>
      <w:pPr>
        <w:pStyle w:val="FirstParagraph"/>
      </w:pPr>
      <w:r>
        <w:t xml:space="preserve">Evidence integrity is the difference between a fluent report and a record another person can inspect.</w:t>
      </w:r>
    </w:p>
    <w:p>
      <w:pPr>
        <w:pStyle w:val="BodyText"/>
      </w:pPr>
      <w:r>
        <w:t xml:space="preserve">For each consequential claim, ask: can an independent reviewer locate the source, rerun the deterministic check where one exists, see what the reviewer actually evaluated, and identify what remains unknown? If the answer is no, the worker may have produced a plausible story rather than evidence.</w:t>
      </w:r>
    </w:p>
    <w:p>
      <w:pPr>
        <w:pStyle w:val="BodyText"/>
      </w:pPr>
      <w:r>
        <w:t xml:space="preserve">The record does not need to be ornate. It needs enough provenance to answer basic questions after the fact:</w:t>
      </w:r>
    </w:p>
    <w:p>
      <w:pPr>
        <w:pStyle w:val="Compact"/>
        <w:numPr>
          <w:ilvl w:val="0"/>
          <w:numId w:val="1012"/>
        </w:numPr>
      </w:pPr>
      <w:r>
        <w:t xml:space="preserve">What happened?</w:t>
      </w:r>
    </w:p>
    <w:p>
      <w:pPr>
        <w:pStyle w:val="Compact"/>
        <w:numPr>
          <w:ilvl w:val="0"/>
          <w:numId w:val="1012"/>
        </w:numPr>
      </w:pPr>
      <w:r>
        <w:t xml:space="preserve">Which version of the relevant input or policy applied?</w:t>
      </w:r>
    </w:p>
    <w:p>
      <w:pPr>
        <w:pStyle w:val="Compact"/>
        <w:numPr>
          <w:ilvl w:val="0"/>
          <w:numId w:val="1012"/>
        </w:numPr>
      </w:pPr>
      <w:r>
        <w:t xml:space="preserve">What check, reviewer, or owner decision supported the claim?</w:t>
      </w:r>
    </w:p>
    <w:p>
      <w:pPr>
        <w:pStyle w:val="Compact"/>
        <w:numPr>
          <w:ilvl w:val="0"/>
          <w:numId w:val="1012"/>
        </w:numPr>
      </w:pPr>
      <w:r>
        <w:t xml:space="preserve">What failed or was excluded?</w:t>
      </w:r>
    </w:p>
    <w:p>
      <w:pPr>
        <w:pStyle w:val="Compact"/>
        <w:numPr>
          <w:ilvl w:val="0"/>
          <w:numId w:val="1012"/>
        </w:numPr>
      </w:pPr>
      <w:r>
        <w:t xml:space="preserve">Can another person distinguish a measured fact from a conclusion?</w:t>
      </w:r>
    </w:p>
    <w:p>
      <w:pPr>
        <w:pStyle w:val="FirstParagraph"/>
      </w:pPr>
      <w:r>
        <w:t xml:space="preserve">This is especially important when the result looks smooth. Smooth language can conceal a missing receipt. A complete-looking dashboard can conceal an unmeasured field. A review can conceal that the producer effectively graded itself.</w:t>
      </w:r>
    </w:p>
    <w:p>
      <w:pPr>
        <w:pStyle w:val="BodyText"/>
      </w:pPr>
      <w:r>
        <w:t xml:space="preserve">My durable-memory work provides a useful limit. Seven fresh-session tests examined recall, forgetting, interface independence, and scope isolation. Those tests supported the specific behaviors exercised. They did not demonstrate that memory formation through the Core interface worked, because that interface did not have a tool-calling mechanism for formation. The evidence was useful because the boundary was named in the same record as the passes.</w:t>
      </w:r>
    </w:p>
    <w:p>
      <w:pPr>
        <w:pStyle w:val="BodyText"/>
      </w:pPr>
      <w:r>
        <w:t xml:space="preserve">That is the standard to aim for: not</w:t>
      </w:r>
      <w:r>
        <w:t xml:space="preserve"> </w:t>
      </w:r>
      <w:r>
        <w:t xml:space="preserve">“</w:t>
      </w:r>
      <w:r>
        <w:t xml:space="preserve">we tested memory,</w:t>
      </w:r>
      <w:r>
        <w:t xml:space="preserve">”</w:t>
      </w:r>
      <w:r>
        <w:t xml:space="preserve"> </w:t>
      </w:r>
      <w:r>
        <w:t xml:space="preserve">but</w:t>
      </w:r>
      <w:r>
        <w:t xml:space="preserve"> </w:t>
      </w:r>
      <w:r>
        <w:t xml:space="preserve">“</w:t>
      </w:r>
      <w:r>
        <w:t xml:space="preserve">these behaviors were tested this way; this other behavior was not demonstrated.</w:t>
      </w:r>
      <w:r>
        <w:t xml:space="preserve">”</w:t>
      </w:r>
    </w:p>
    <w:bookmarkEnd w:id="76"/>
    <w:bookmarkStart w:id="77" w:name="did-handoffs-land-and-remain-coherent"/>
    <w:p>
      <w:pPr>
        <w:pStyle w:val="Heading3"/>
      </w:pPr>
      <w:r>
        <w:t xml:space="preserve">4. Did handoffs land and remain coherent?</w:t>
      </w:r>
    </w:p>
    <w:p>
      <w:pPr>
        <w:pStyle w:val="FirstParagraph"/>
      </w:pPr>
      <w:r>
        <w:t xml:space="preserve">A worker does not steward a responsibility alone. It produces work for people, systems, or other workers. The handoff is part of the responsibility.</w:t>
      </w:r>
    </w:p>
    <w:p>
      <w:pPr>
        <w:pStyle w:val="BodyText"/>
      </w:pPr>
      <w:r>
        <w:t xml:space="preserve">Evidence for continuity includes a typed handoff where needed, acknowledgement by the receiving owner or system, a durable record of the state transferred, and a way to determine whether the work can resume without inventing the missing context. The evidence need not prove perfection. It needs to expose dropped commitments, stale state, duplicate work, and unresolved dependencies before someone assumes the responsibility is covered.</w:t>
      </w:r>
    </w:p>
    <w:p>
      <w:pPr>
        <w:pStyle w:val="BodyText"/>
      </w:pPr>
      <w:r>
        <w:t xml:space="preserve">A generated artifact that nobody received is not a completed handoff. A message sent to a queue that nobody owns is not continuity. A worker that restarts with a plausible but forked understanding of its responsibility is not maintaining the same responsibility merely because the process came back online.</w:t>
      </w:r>
    </w:p>
    <w:p>
      <w:pPr>
        <w:pStyle w:val="BodyText"/>
      </w:pPr>
      <w:r>
        <w:t xml:space="preserve">The sponsor should ask a simple question: if this worker stopped at the least convenient moment, who would know what was pending, what had been accepted, and what must happen next?</w:t>
      </w:r>
    </w:p>
    <w:p>
      <w:pPr>
        <w:pStyle w:val="BodyText"/>
      </w:pPr>
      <w:r>
        <w:t xml:space="preserve">If the answer is</w:t>
      </w:r>
      <w:r>
        <w:t xml:space="preserve"> </w:t>
      </w:r>
      <w:r>
        <w:t xml:space="preserve">“</w:t>
      </w:r>
      <w:r>
        <w:t xml:space="preserve">we would ask the worker what it remembers,</w:t>
      </w:r>
      <w:r>
        <w:t xml:space="preserve">”</w:t>
      </w:r>
      <w:r>
        <w:t xml:space="preserve"> </w:t>
      </w:r>
      <w:r>
        <w:t xml:space="preserve">the evidence model is too thin.</w:t>
      </w:r>
    </w:p>
    <w:bookmarkEnd w:id="77"/>
    <w:bookmarkStart w:id="78" w:name="Xfc3365ff642da5ddb7200db1d2692c6200198e6"/>
    <w:p>
      <w:pPr>
        <w:pStyle w:val="Heading3"/>
      </w:pPr>
      <w:r>
        <w:t xml:space="preserve">5. How much intervention did the work require?</w:t>
      </w:r>
    </w:p>
    <w:p>
      <w:pPr>
        <w:pStyle w:val="FirstParagraph"/>
      </w:pPr>
      <w:r>
        <w:t xml:space="preserve">Human involvement is not a failure. Hidden babysitting is.</w:t>
      </w:r>
    </w:p>
    <w:p>
      <w:pPr>
        <w:pStyle w:val="BodyText"/>
      </w:pPr>
      <w:r>
        <w:t xml:space="preserve">A review should make intervention visible: repair counts, repeat failure classes, escalations that arrived on time, escalations that arrived too late, unnecessary escalations, and the amount of owner attention required to keep the responsibility in a safe state. This is not a demand that every worker use less human attention every month. Some responsibilities deserve close review. The question is whether the intervention burden matches the commission and remains visible to the person accountable for it.</w:t>
      </w:r>
    </w:p>
    <w:p>
      <w:pPr>
        <w:pStyle w:val="BodyText"/>
      </w:pPr>
      <w:r>
        <w:t xml:space="preserve">My Documentation Steward case is useful here because the failure was not an engine malfunction and not a mysterious model failure. A recurring job was blocked by a data-contract gap: existing backlog items lacked required audience-contract fields. The repair backfilled the missing information and then verified that the job’s actual selection stage could proceed. The useful evidence was the classification, the bounded repair, and the real cycle that demonstrated the specific failure had cleared.</w:t>
      </w:r>
    </w:p>
    <w:p>
      <w:pPr>
        <w:pStyle w:val="BodyText"/>
      </w:pPr>
      <w:r>
        <w:t xml:space="preserve">That is different from declaring the worker</w:t>
      </w:r>
      <w:r>
        <w:t xml:space="preserve"> </w:t>
      </w:r>
      <w:r>
        <w:t xml:space="preserve">“</w:t>
      </w:r>
      <w:r>
        <w:t xml:space="preserve">healthy</w:t>
      </w:r>
      <w:r>
        <w:t xml:space="preserve">”</w:t>
      </w:r>
      <w:r>
        <w:t xml:space="preserve"> </w:t>
      </w:r>
      <w:r>
        <w:t xml:space="preserve">after a preflight check. A preflight can be evidence. It is not the whole stewardship record.</w:t>
      </w:r>
    </w:p>
    <w:p>
      <w:pPr>
        <w:pStyle w:val="BodyText"/>
      </w:pPr>
      <w:r>
        <w:t xml:space="preserve">A repeat repair in the same class is a signal. It may mean the worker needs a better contract, a clearer owner boundary, a narrower responsibility, or a redesigned handoff. Do not use retries to hide that conclusion.</w:t>
      </w:r>
    </w:p>
    <w:bookmarkEnd w:id="78"/>
    <w:bookmarkStart w:id="79" w:name="X8edbb5cdf6d417c72426e3fd36611fb5e284a81"/>
    <w:p>
      <w:pPr>
        <w:pStyle w:val="Heading3"/>
      </w:pPr>
      <w:r>
        <w:t xml:space="preserve">6. Does the current lifecycle posture still fit?</w:t>
      </w:r>
    </w:p>
    <w:p>
      <w:pPr>
        <w:pStyle w:val="FirstParagraph"/>
      </w:pPr>
      <w:r>
        <w:t xml:space="preserve">Runtime health and lifecycle intent are not the same thing.</w:t>
      </w:r>
    </w:p>
    <w:p>
      <w:pPr>
        <w:pStyle w:val="BodyText"/>
      </w:pPr>
      <w:r>
        <w:t xml:space="preserve">A worker can be healthy but paused because the responsibility is temporarily unnecessary. It can be running but poorly fit for the responsibility because its authority, cadence, or evidence bar is wrong. It can be retired as a portfolio choice while the evidence and assets remain valuable. It can require redesign even when the model is capable.</w:t>
      </w:r>
    </w:p>
    <w:p>
      <w:pPr>
        <w:pStyle w:val="BodyText"/>
      </w:pPr>
      <w:r>
        <w:t xml:space="preserve">The review should therefore name a current disposition and its reason: continue, constrain, return for clarification, pause, redesign, retire or supersede, or refuse to commission. The point is not to force every worker through the same sequence. The point is to make the next decision explicit and reversible where possible.</w:t>
      </w:r>
    </w:p>
    <w:p>
      <w:pPr>
        <w:pStyle w:val="BodyText"/>
      </w:pPr>
      <w:r>
        <w:t xml:space="preserve">Chapter 2 carries the full OMP rejection and its measured acceptance result. For stewardship, the important evidence is that the route stopped at my approval boundary, its evidence was preserved, and the temporary configuration was reverted rather than normalized into a broader mandate.</w:t>
      </w:r>
    </w:p>
    <w:p>
      <w:pPr>
        <w:pStyle w:val="BodyText"/>
      </w:pPr>
      <w:r>
        <w:t xml:space="preserve">That is not a sad ending to hide in an appendix. It is what evidence is for.</w:t>
      </w:r>
    </w:p>
    <w:p>
      <w:pPr>
        <w:pStyle w:val="BodyText"/>
      </w:pPr>
      <w:r>
        <w:t xml:space="preserve">The pilot produced a decision: do not continue this configuration. It answered a bounded question with a bounded disposition.</w:t>
      </w:r>
    </w:p>
    <w:p>
      <w:pPr>
        <w:pStyle w:val="BodyText"/>
      </w:pPr>
      <w:r>
        <w:t xml:space="preserve">A sponsor should be able to make the same kind of decision without treating pause as shame or retirement as deletion. The responsibility may no longer fit. The evidence may be insufficient. The worker may be useful but need a smaller authority surface. These are management decisions, not verdicts on whether the model is impressive.</w:t>
      </w:r>
    </w:p>
    <w:bookmarkEnd w:id="79"/>
    <w:bookmarkStart w:id="80" w:name="is-the-capacity-cost-honest"/>
    <w:p>
      <w:pPr>
        <w:pStyle w:val="Heading3"/>
      </w:pPr>
      <w:r>
        <w:t xml:space="preserve">7. Is the capacity cost honest?</w:t>
      </w:r>
    </w:p>
    <w:p>
      <w:pPr>
        <w:pStyle w:val="FirstParagraph"/>
      </w:pPr>
      <w:r>
        <w:t xml:space="preserve">A digital worker consumes more than a model call. It consumes compute, subscriptions or other direct cost, waiting time, reviewer attention, operator attention, and the opportunity cost of keeping a responsibility alive after conditions have changed.</w:t>
      </w:r>
    </w:p>
    <w:p>
      <w:pPr>
        <w:pStyle w:val="BodyText"/>
      </w:pPr>
      <w:r>
        <w:t xml:space="preserve">Capacity economics belongs in the stewardship review because cheap-looking work can be expensive when it polls without need, retries a preventable defect, consumes scarce review attention, or keeps a human in a permanent rescue role. The reverse is also true: a meaningful operating cost may be justified when the responsibility is valuable, the evidence is strong, and the alternative requires more expensive human attention.</w:t>
      </w:r>
    </w:p>
    <w:p>
      <w:pPr>
        <w:pStyle w:val="BodyText"/>
      </w:pPr>
      <w:r>
        <w:t xml:space="preserve">Do not borrow a market ROI claim to answer this question. Measure the local decision where possible.</w:t>
      </w:r>
    </w:p>
    <w:p>
      <w:pPr>
        <w:pStyle w:val="BodyText"/>
      </w:pPr>
      <w:r>
        <w:t xml:space="preserve">My Agent-Orch performance work offers a disciplined example. A declared validation-only route removed an unnecessary model-worker window for deterministic command gates while retaining validation, evidence, sealing, retry, route truth, and terminal verification. Across thirty fresh runs per route, the measured fixed overhead of that route remained essentially unchanged from the comparator. The lesson was not</w:t>
      </w:r>
      <w:r>
        <w:t xml:space="preserve"> </w:t>
      </w:r>
      <w:r>
        <w:t xml:space="preserve">“</w:t>
      </w:r>
      <w:r>
        <w:t xml:space="preserve">remove governance to make systems fast.</w:t>
      </w:r>
      <w:r>
        <w:t xml:space="preserve">”</w:t>
      </w:r>
      <w:r>
        <w:t xml:space="preserve"> </w:t>
      </w:r>
      <w:r>
        <w:t xml:space="preserve">It was that measured, deterministic work can be optimized without weakening the assurance path.</w:t>
      </w:r>
    </w:p>
    <w:p>
      <w:pPr>
        <w:pStyle w:val="BodyText"/>
      </w:pPr>
      <w:r>
        <w:t xml:space="preserve">A second experiment reused one byte-identical journey command for multiple matching claims while retaining distinct evaluation of each claim’s expected result. In the controlled four-claim workload, median wall time fell from 1.263899 seconds to 0.620960 seconds. That is a real, narrow result. It does not authorize broad parallelism, session pooling, or reuse of merely similar work.</w:t>
      </w:r>
    </w:p>
    <w:p>
      <w:pPr>
        <w:pStyle w:val="BodyText"/>
      </w:pPr>
      <w:r>
        <w:t xml:space="preserve">The next performance record made the boundary even clearer. It captured what could be measured around a worker launch—invocation, spawn, exit, completion, timeouts, and retry classifications—and labeled other timing components unobservable under the current transport. It did not guess at authentication, inference, tool time, or teardown. It also did not suppress retries: the observed retry corpus contained genuine assurance catches and productive repair continuations alongside defects that might justify future contract improvements.</w:t>
      </w:r>
    </w:p>
    <w:p>
      <w:pPr>
        <w:pStyle w:val="BodyText"/>
      </w:pPr>
      <w:r>
        <w:t xml:space="preserve">This is stewardship economics in miniature. Keep the useful work. Keep the evidence. Remove only what has been measured as unnecessary for this specific contract. Leave the rest visible until you know more.</w:t>
      </w:r>
    </w:p>
    <w:bookmarkEnd w:id="80"/>
    <w:bookmarkEnd w:id="81"/>
    <w:bookmarkStart w:id="82" w:name="what-benchmarks-can-and-cannot-tell-you"/>
    <w:p>
      <w:pPr>
        <w:pStyle w:val="Heading2"/>
      </w:pPr>
      <w:r>
        <w:t xml:space="preserve">What benchmarks can and cannot tell you</w:t>
      </w:r>
    </w:p>
    <w:p>
      <w:pPr>
        <w:pStyle w:val="FirstParagraph"/>
      </w:pPr>
      <w:r>
        <w:t xml:space="preserve">Benchmarks are valuable when their question matches your question.</w:t>
      </w:r>
    </w:p>
    <w:p>
      <w:pPr>
        <w:pStyle w:val="BodyText"/>
      </w:pPr>
      <w:r>
        <w:t xml:space="preserve">SWE-bench evaluates software issue resolution on a defined collection of GitHub issue instances. Its original benchmark contains 2,294 instances, but results depend on the split, evaluator, and protocol. A result can support a claim about performance under that benchmark’s rules. It does not establish that a worker can own an ongoing enterprise software responsibility.</w:t>
      </w:r>
    </w:p>
    <w:p>
      <w:pPr>
        <w:pStyle w:val="BodyText"/>
      </w:pPr>
      <w:r>
        <w:t xml:space="preserve">GAIA evaluates general assistant reasoning and tool use through 466 questions. It can expose a capability slice involving research, reasoning, and tools. It is not a production enterprise-workflow evaluation, and it does not tell a sponsor whether a worker’s handoffs, authority, lifecycle, or intervention burden are acceptable.</w:t>
      </w:r>
    </w:p>
    <w:p>
      <w:pPr>
        <w:pStyle w:val="BodyText"/>
      </w:pPr>
      <w:r>
        <w:t xml:space="preserve">τ-bench evaluates tool-agent-user interaction in retail and airline scenarios, using synthetic policy and database-state conditions. That makes it useful for a specific kind of policy-following and state-sensitive tool interaction. It does not use a company’s real customer records, and it does not establish an ongoing stewardship relationship with an accountable enterprise owner.</w:t>
      </w:r>
    </w:p>
    <w:p>
      <w:pPr>
        <w:pStyle w:val="BodyText"/>
      </w:pPr>
      <w:r>
        <w:t xml:space="preserve">AgentIF-OneDay evaluates daily-scenario instruction following through 104 tasks and 767 scoring points. It is distinct from OneDayAgent, which is a harness rather than the benchmark. The benchmark can show performance under its daily-scenario protocol. It does not become an enterprise responsibility benchmark because the name contains</w:t>
      </w:r>
      <w:r>
        <w:t xml:space="preserve"> </w:t>
      </w:r>
      <w:r>
        <w:t xml:space="preserve">“</w:t>
      </w:r>
      <w:r>
        <w:t xml:space="preserve">OneDay.</w:t>
      </w:r>
      <w:r>
        <w:t xml:space="preserve">”</w:t>
      </w:r>
    </w:p>
    <w:p>
      <w:pPr>
        <w:pStyle w:val="BodyText"/>
      </w:pPr>
      <w:r>
        <w:t xml:space="preserve">These boundaries are not defects in the benchmarks. They are the reason to use them carefully.</w:t>
      </w:r>
    </w:p>
    <w:p>
      <w:pPr>
        <w:pStyle w:val="BodyText"/>
      </w:pPr>
      <w:r>
        <w:t xml:space="preserve">A benchmark can help you decide whether a proposed worker has demonstrated a bounded capability claim. It may be one input to a commission. It may help identify a regression. It may help select which design deserves a deeper pilot. It cannot decide whether the organization should let that named worker continue carrying an ongoing responsibility under its current owner, authority, evidence bar, and lifecycle posture.</w:t>
      </w:r>
    </w:p>
    <w:p>
      <w:pPr>
        <w:pStyle w:val="BodyText"/>
      </w:pPr>
      <w:r>
        <w:t xml:space="preserve">That decision requires longitudinal evidence from the actual commission.</w:t>
      </w:r>
    </w:p>
    <w:p>
      <w:pPr>
        <w:pStyle w:val="BodyText"/>
      </w:pPr>
      <w:r>
        <w:t xml:space="preserve">If a vendor claims a benchmark score, ask which benchmark, which split, which protocol, which evaluator, and what the score is meant to support. Then ask the question the benchmark cannot answer: what happened after the worker entered your operating environment, met changing inputs, handed work to real owners, and required intervention?</w:t>
      </w:r>
    </w:p>
    <w:bookmarkEnd w:id="82"/>
    <w:bookmarkStart w:id="83" w:name="the-review-should-end-in-a-disposition"/>
    <w:p>
      <w:pPr>
        <w:pStyle w:val="Heading2"/>
      </w:pPr>
      <w:r>
        <w:t xml:space="preserve">The review should end in a disposition</w:t>
      </w:r>
    </w:p>
    <w:p>
      <w:pPr>
        <w:pStyle w:val="FirstParagraph"/>
      </w:pPr>
      <w:r>
        <w:t xml:space="preserve">A stewardship review is not complete when it says</w:t>
      </w:r>
      <w:r>
        <w:t xml:space="preserve"> </w:t>
      </w:r>
      <w:r>
        <w:t xml:space="preserve">“</w:t>
      </w:r>
      <w:r>
        <w:t xml:space="preserve">more monitoring needed.</w:t>
      </w:r>
      <w:r>
        <w:t xml:space="preserve">”</w:t>
      </w:r>
      <w:r>
        <w:t xml:space="preserve"> </w:t>
      </w:r>
      <w:r>
        <w:t xml:space="preserve">That sentence often means nobody has been asked to decide.</w:t>
      </w:r>
    </w:p>
    <w:p>
      <w:pPr>
        <w:pStyle w:val="BodyText"/>
      </w:pPr>
      <w:r>
        <w:t xml:space="preserve">The review should end with a named disposition and the evidence that supports it.</w:t>
      </w:r>
    </w:p>
    <w:p>
      <w:pPr>
        <w:pStyle w:val="BodyText"/>
      </w:pPr>
      <w:r>
        <w:t xml:space="preserve">Return for clarification means the proposal is promising but a required field or decision remains too vague to approve. Continue means the current bounded commission is supported by the record. Constrain means the work remains useful, but the sponsor is narrowing scope, authority, cadence, or handoffs. Pause means preserving the identity and evidence while stopping execution pending repair or changed need. Redesign means the responsibility or operating contract is wrong even if the capability may still be useful. Retire or supersede means this responsibility no longer belongs with this worker or project. Refuse to commission means the proposal cannot yet name an owner, authority boundary, evidence bar, or stop path sufficient for the responsibility it seeks to own.</w:t>
      </w:r>
    </w:p>
    <w:p>
      <w:pPr>
        <w:pStyle w:val="BodyText"/>
      </w:pPr>
      <w:r>
        <w:t xml:space="preserve">Park belongs to portfolio intent: it preserves useful work without claiming current priority. Return for clarification belongs to the commission review: it identifies what must be clarified before approval. They may occur together, but they answer different questions.</w:t>
      </w:r>
    </w:p>
    <w:p>
      <w:pPr>
        <w:pStyle w:val="BodyText"/>
      </w:pPr>
      <w:r>
        <w:t xml:space="preserve">A useful review record can be short if it is honest. It should name the responsibility, owner, review period, evidence examined, known gaps, the seven dimension-level findings, and the disposition. It should also name what would change the decision next time: a missing source, a repeatable acceptance test, a repaired handoff, a measured cost window, a human approval, or evidence that the responsibility itself has changed.</w:t>
      </w:r>
    </w:p>
    <w:p>
      <w:pPr>
        <w:pStyle w:val="BodyText"/>
      </w:pPr>
      <w:r>
        <w:t xml:space="preserve">Do not collapse those findings into one stewardship score. A score makes it easier to report upward. It makes it harder to see why the owner should act.</w:t>
      </w:r>
    </w:p>
    <w:p>
      <w:pPr>
        <w:pStyle w:val="BodyText"/>
      </w:pPr>
      <w:r>
        <w:t xml:space="preserve">The sponsor does not need a digital worker that looks finished. The sponsor needs a record strong enough to decide what happens next, while the accountable owner is still visible.</w:t>
      </w:r>
    </w:p>
    <w:p>
      <w:pPr>
        <w:pStyle w:val="BodyText"/>
      </w:pPr>
      <w:r>
        <w:t xml:space="preserve">The evidence review now leads naturally to owner truth: the sponsor needs a way to reconcile what the responsibility is doing across systems without allowing a summary to replace the systems that own the facts. Chapter 6 makes that synthesis concrete.</w:t>
      </w:r>
    </w:p>
    <w:bookmarkEnd w:id="83"/>
    <w:bookmarkStart w:id="91" w:name="sources-and-evidence-notes-4"/>
    <w:p>
      <w:pPr>
        <w:pStyle w:val="Heading2"/>
      </w:pPr>
      <w:r>
        <w:t xml:space="preserve">Sources and evidence notes</w:t>
      </w:r>
    </w:p>
    <w:p>
      <w:pPr>
        <w:numPr>
          <w:ilvl w:val="0"/>
          <w:numId w:val="1013"/>
        </w:numPr>
      </w:pPr>
      <w:r>
        <w:rPr>
          <w:i/>
          <w:iCs/>
        </w:rPr>
        <w:t xml:space="preserve">The book’s internal planning repository</w:t>
      </w:r>
      <w:r>
        <w:t xml:space="preserve"> </w:t>
      </w:r>
      <w:r>
        <w:t xml:space="preserve">— Chapter 5 scope, target range, seven dimensions, required cases, benchmark limits, and exclusions.</w:t>
      </w:r>
    </w:p>
    <w:p>
      <w:pPr>
        <w:numPr>
          <w:ilvl w:val="0"/>
          <w:numId w:val="1013"/>
        </w:numPr>
      </w:pPr>
      <w:r>
        <w:rPr>
          <w:i/>
          <w:iCs/>
        </w:rPr>
        <w:t xml:space="preserve">The book’s internal planning repository</w:t>
      </w:r>
      <w:r>
        <w:t xml:space="preserve"> </w:t>
      </w:r>
      <w:r>
        <w:t xml:space="preserve">— chapter promise: demand stewardship evidence without treating a one-shot benchmark as proof of ongoing ownership.</w:t>
      </w:r>
    </w:p>
    <w:p>
      <w:pPr>
        <w:numPr>
          <w:ilvl w:val="0"/>
          <w:numId w:val="1013"/>
        </w:numPr>
      </w:pPr>
      <w:r>
        <w:rPr>
          <w:i/>
          <w:iCs/>
        </w:rPr>
        <w:t xml:space="preserve">The book’s internal planning repository</w:t>
      </w:r>
      <w:r>
        <w:t xml:space="preserve"> </w:t>
      </w:r>
      <w:r>
        <w:t xml:space="preserve">— evidence-language constraints and draft prohibitions.</w:t>
      </w:r>
    </w:p>
    <w:p>
      <w:pPr>
        <w:numPr>
          <w:ilvl w:val="0"/>
          <w:numId w:val="1013"/>
        </w:numPr>
      </w:pPr>
      <w:r>
        <w:rPr>
          <w:i/>
          <w:iCs/>
        </w:rPr>
        <w:t xml:space="preserve">The book’s internal planning repository</w:t>
      </w:r>
      <w:r>
        <w:t xml:space="preserve"> </w:t>
      </w:r>
      <w:r>
        <w:t xml:space="preserve">and</w:t>
      </w:r>
      <w:r>
        <w:t xml:space="preserve"> </w:t>
      </w:r>
      <w:r>
        <w:rPr>
          <w:i/>
          <w:iCs/>
        </w:rPr>
        <w:t xml:space="preserve">The book’s internal planning repository</w:t>
      </w:r>
      <w:r>
        <w:t xml:space="preserve"> </w:t>
      </w:r>
      <w:r>
        <w:t xml:space="preserve">— approved governing question and the book’s proposed commissioning model.</w:t>
      </w:r>
    </w:p>
    <w:p>
      <w:pPr>
        <w:numPr>
          <w:ilvl w:val="0"/>
          <w:numId w:val="1013"/>
        </w:numPr>
      </w:pPr>
      <w:r>
        <w:rPr>
          <w:i/>
          <w:iCs/>
        </w:rPr>
        <w:t xml:space="preserve">The book’s internal pre-draft specifications</w:t>
      </w:r>
      <w:r>
        <w:t xml:space="preserve"> </w:t>
      </w:r>
      <w:r>
        <w:t xml:space="preserve">— source of the seven-dimensional evaluation model and dispositions.</w:t>
      </w:r>
    </w:p>
    <w:p>
      <w:pPr>
        <w:numPr>
          <w:ilvl w:val="0"/>
          <w:numId w:val="1013"/>
        </w:numPr>
      </w:pPr>
      <w:r>
        <w:rPr>
          <w:i/>
          <w:iCs/>
        </w:rPr>
        <w:t xml:space="preserve">The book’s internal research ledger</w:t>
      </w:r>
      <w:r>
        <w:t xml:space="preserve">,</w:t>
      </w:r>
      <w:r>
        <w:t xml:space="preserve"> </w:t>
      </w:r>
      <w:r>
        <w:rPr>
          <w:i/>
          <w:iCs/>
        </w:rPr>
        <w:t xml:space="preserve">The book’s internal research ledger</w:t>
      </w:r>
      <w:r>
        <w:t xml:space="preserve">, and</w:t>
      </w:r>
      <w:r>
        <w:t xml:space="preserve"> </w:t>
      </w:r>
      <w:r>
        <w:rPr>
          <w:i/>
          <w:iCs/>
        </w:rPr>
        <w:t xml:space="preserve">The book’s internal research ledger</w:t>
      </w:r>
      <w:r>
        <w:t xml:space="preserve"> </w:t>
      </w:r>
      <w:r>
        <w:t xml:space="preserve">— scope and limits for the Lee-estate cases used here.</w:t>
      </w:r>
    </w:p>
    <w:p>
      <w:pPr>
        <w:numPr>
          <w:ilvl w:val="0"/>
          <w:numId w:val="1013"/>
        </w:numPr>
      </w:pPr>
      <w:r>
        <w:rPr>
          <w:i/>
          <w:iCs/>
        </w:rPr>
        <w:t xml:space="preserve">The author’s operating decision log</w:t>
      </w:r>
      <w:r>
        <w:t xml:space="preserve"> </w:t>
      </w:r>
      <w:r>
        <w:t xml:space="preserve">— D14 (Employee Zero repairable defects and OAuth boundary), D15 (Documentation Steward data-contract repair), D19 (seven fresh-session memory tests, lines 976–983), D27 (OMP rejection, lines 1381–1384), D57 (thirty-run route comparison, lines 2132–2135), D58 (median 1.263899 seconds → 0.620960 seconds, lines 2185–2189), and D59 (lifecycle observability and retry economics).</w:t>
      </w:r>
    </w:p>
    <w:p>
      <w:pPr>
        <w:numPr>
          <w:ilvl w:val="0"/>
          <w:numId w:val="1013"/>
        </w:numPr>
      </w:pPr>
      <w:r>
        <w:rPr>
          <w:i/>
          <w:iCs/>
        </w:rPr>
        <w:t xml:space="preserve">The book’s internal research ledger</w:t>
      </w:r>
      <w:r>
        <w:t xml:space="preserve"> </w:t>
      </w:r>
      <w:r>
        <w:t xml:space="preserve">and</w:t>
      </w:r>
      <w:r>
        <w:t xml:space="preserve"> </w:t>
      </w:r>
      <w:r>
        <w:rPr>
          <w:i/>
          <w:iCs/>
        </w:rPr>
        <w:t xml:space="preserve">The book’s internal research ledger</w:t>
      </w:r>
      <w:r>
        <w:t xml:space="preserve"> </w:t>
      </w:r>
      <w:r>
        <w:t xml:space="preserve">— verified benchmark identities, dates, denominators, and limits.</w:t>
      </w:r>
    </w:p>
    <w:p>
      <w:pPr>
        <w:numPr>
          <w:ilvl w:val="0"/>
          <w:numId w:val="1013"/>
        </w:numPr>
      </w:pPr>
      <w:hyperlink r:id="rId84">
        <w:r>
          <w:rPr>
            <w:rStyle w:val="Hyperlink"/>
          </w:rPr>
          <w:t xml:space="preserve">SWE-bench: Can Language Models Resolve Real-World GitHub Issues?</w:t>
        </w:r>
      </w:hyperlink>
      <w:r>
        <w:t xml:space="preserve"> </w:t>
      </w:r>
      <w:r>
        <w:t xml:space="preserve">and</w:t>
      </w:r>
      <w:r>
        <w:t xml:space="preserve"> </w:t>
      </w:r>
      <w:hyperlink r:id="rId85">
        <w:r>
          <w:rPr>
            <w:rStyle w:val="Hyperlink"/>
          </w:rPr>
          <w:t xml:space="preserve">SWE-bench original benchmark documentation</w:t>
        </w:r>
      </w:hyperlink>
      <w:r>
        <w:t xml:space="preserve"> </w:t>
      </w:r>
      <w:r>
        <w:t xml:space="preserve">— software-issue benchmark; original set contains 2,294 instances. Split, evaluator, and protocol must be specified for a score.</w:t>
      </w:r>
    </w:p>
    <w:p>
      <w:pPr>
        <w:numPr>
          <w:ilvl w:val="0"/>
          <w:numId w:val="1013"/>
        </w:numPr>
      </w:pPr>
      <w:hyperlink r:id="rId86">
        <w:r>
          <w:rPr>
            <w:rStyle w:val="Hyperlink"/>
          </w:rPr>
          <w:t xml:space="preserve">GAIA: a benchmark for General AI Assistants</w:t>
        </w:r>
      </w:hyperlink>
      <w:r>
        <w:t xml:space="preserve"> </w:t>
      </w:r>
      <w:r>
        <w:t xml:space="preserve">— 466-question general-assistant reasoning and tool-use benchmark; not enterprise workflow evidence.</w:t>
      </w:r>
    </w:p>
    <w:p>
      <w:pPr>
        <w:numPr>
          <w:ilvl w:val="0"/>
          <w:numId w:val="1013"/>
        </w:numPr>
      </w:pPr>
      <w:hyperlink r:id="rId87">
        <w:r>
          <w:rPr>
            <w:rStyle w:val="Hyperlink"/>
          </w:rPr>
          <w:t xml:space="preserve">τ-bench: A Benchmark for Tool-Agent-User Interaction in Real-World Domains</w:t>
        </w:r>
      </w:hyperlink>
      <w:r>
        <w:t xml:space="preserve"> </w:t>
      </w:r>
      <w:r>
        <w:t xml:space="preserve">and</w:t>
      </w:r>
      <w:r>
        <w:t xml:space="preserve"> </w:t>
      </w:r>
      <w:hyperlink r:id="rId88">
        <w:r>
          <w:rPr>
            <w:rStyle w:val="Hyperlink"/>
          </w:rPr>
          <w:t xml:space="preserve">τ-bench repository</w:t>
        </w:r>
      </w:hyperlink>
      <w:r>
        <w:t xml:space="preserve"> </w:t>
      </w:r>
      <w:r>
        <w:t xml:space="preserve">— synthetic retail/airline policy-tool interaction with database-state reward; not real customer-record or production-deployment evidence.</w:t>
      </w:r>
    </w:p>
    <w:p>
      <w:pPr>
        <w:numPr>
          <w:ilvl w:val="0"/>
          <w:numId w:val="1013"/>
        </w:numPr>
      </w:pPr>
      <w:hyperlink r:id="rId89">
        <w:r>
          <w:rPr>
            <w:rStyle w:val="Hyperlink"/>
          </w:rPr>
          <w:t xml:space="preserve">AgentIF-OneDay: A Task-level Instruction-Following Benchmark for General AI Agents in Daily Scenarios</w:t>
        </w:r>
      </w:hyperlink>
      <w:r>
        <w:t xml:space="preserve"> </w:t>
      </w:r>
      <w:r>
        <w:t xml:space="preserve">— 104 daily-scenario tasks and 767 scoring points; not an enterprise stewardship benchmark.</w:t>
      </w:r>
    </w:p>
    <w:p>
      <w:pPr>
        <w:numPr>
          <w:ilvl w:val="0"/>
          <w:numId w:val="1013"/>
        </w:numPr>
      </w:pPr>
      <w:hyperlink r:id="rId90">
        <w:r>
          <w:rPr>
            <w:rStyle w:val="Hyperlink"/>
          </w:rPr>
          <w:t xml:space="preserve">OneDayAgent: Towards a Long-Horizon Harness for Autonomous Agents</w:t>
        </w:r>
      </w:hyperlink>
      <w:r>
        <w:t xml:space="preserve"> </w:t>
      </w:r>
      <w:r>
        <w:t xml:space="preserve">— a separate harness source, included to preserve the distinction between the harness and AgentIF-OneDay benchmark.</w:t>
      </w:r>
    </w:p>
    <w:p>
      <w:r>
        <w:pict>
          <v:rect style="width:0;height:1.5pt" o:hralign="center" o:hrstd="t" o:hr="t"/>
        </w:pict>
      </w:r>
    </w:p>
    <w:bookmarkEnd w:id="91"/>
    <w:bookmarkEnd w:id="92"/>
    <w:bookmarkStart w:id="111" w:name="X6cdd0bb488c4d58edf0b4ec18e8d09ee30d1d05"/>
    <w:p>
      <w:pPr>
        <w:pStyle w:val="Heading1"/>
      </w:pPr>
      <w:r>
        <w:t xml:space="preserve">Chapter 6 — Owner Truth and Useful Synthesis</w:t>
      </w:r>
    </w:p>
    <w:p>
      <w:pPr>
        <w:pStyle w:val="FirstParagraph"/>
      </w:pPr>
      <w:r>
        <w:t xml:space="preserve">An executive needs one coherent answer. That does not mean one system should own every fact behind it.</w:t>
      </w:r>
    </w:p>
    <w:p>
      <w:pPr>
        <w:pStyle w:val="BodyText"/>
      </w:pPr>
      <w:r>
        <w:t xml:space="preserve">That distinction matters because a central dashboard, a Chief of Staff function, or a graph can create a dangerous kind of comfort. It can assemble a clean status line from facts that belong to different owners, were collected at different times, and answer different questions. The line looks decisive because it is short. It may still be wrong.</w:t>
      </w:r>
    </w:p>
    <w:p>
      <w:pPr>
        <w:pStyle w:val="BodyText"/>
      </w:pPr>
      <w:r>
        <w:t xml:space="preserve">The operating work behind this book reached the same conclusion in my estate through remediation rather than theory. A proposed control-plane model explicitly refused to infer intent from a missing schedule, an old file, a failed run, or the absence of a worker binding. This is a practitioner hypothesis. Enterprise transfer is untested. Its value is more basic: do not let a missing observation become an invented decision.</w:t>
      </w:r>
    </w:p>
    <w:bookmarkStart w:id="93" w:name="X1dee6103ee0d482c4e19a49e14912bf3b67bd85"/>
    <w:p>
      <w:pPr>
        <w:pStyle w:val="Heading2"/>
      </w:pPr>
      <w:r>
        <w:t xml:space="preserve">The Chief is a reconciler, not a central oracle</w:t>
      </w:r>
    </w:p>
    <w:p>
      <w:pPr>
        <w:pStyle w:val="FirstParagraph"/>
      </w:pPr>
      <w:r>
        <w:t xml:space="preserve">A Chief of Staff function earns its place by reducing the executive’s cognitive load. It does not earn it by declaring itself the owner of every underlying system.</w:t>
      </w:r>
    </w:p>
    <w:p>
      <w:pPr>
        <w:pStyle w:val="BodyText"/>
      </w:pPr>
      <w:r>
        <w:t xml:space="preserve">The Chief’s job is to answer four questions clearly:</w:t>
      </w:r>
    </w:p>
    <w:p>
      <w:pPr>
        <w:pStyle w:val="Compact"/>
        <w:numPr>
          <w:ilvl w:val="0"/>
          <w:numId w:val="1014"/>
        </w:numPr>
      </w:pPr>
      <w:r>
        <w:t xml:space="preserve">What do the native owners currently say?</w:t>
      </w:r>
    </w:p>
    <w:p>
      <w:pPr>
        <w:pStyle w:val="Compact"/>
        <w:numPr>
          <w:ilvl w:val="0"/>
          <w:numId w:val="1014"/>
        </w:numPr>
      </w:pPr>
      <w:r>
        <w:t xml:space="preserve">Where do they agree or conflict?</w:t>
      </w:r>
    </w:p>
    <w:p>
      <w:pPr>
        <w:pStyle w:val="Compact"/>
        <w:numPr>
          <w:ilvl w:val="0"/>
          <w:numId w:val="1014"/>
        </w:numPr>
      </w:pPr>
      <w:r>
        <w:t xml:space="preserve">What is unknown, stale, unresolved, or outside the current evidence path?</w:t>
      </w:r>
    </w:p>
    <w:p>
      <w:pPr>
        <w:pStyle w:val="Compact"/>
        <w:numPr>
          <w:ilvl w:val="0"/>
          <w:numId w:val="1014"/>
        </w:numPr>
      </w:pPr>
      <w:r>
        <w:t xml:space="preserve">What decision needs the accountable human now?</w:t>
      </w:r>
    </w:p>
    <w:p>
      <w:pPr>
        <w:pStyle w:val="FirstParagraph"/>
      </w:pPr>
      <w:r>
        <w:t xml:space="preserve">That is useful synthesis. It is not a replacement for owner truth.</w:t>
      </w:r>
    </w:p>
    <w:p>
      <w:pPr>
        <w:pStyle w:val="BodyText"/>
      </w:pPr>
      <w:r>
        <w:t xml:space="preserve">A good Chief brief therefore does more than produce a summary. It preserves provenance inside the summary. When it says a worker is paused, the reader should be able to see whether that means the execution owner reports a pause, the portfolio owner has parked the project, the identity owner has retired the worker, or the Chief has merely failed to observe a recent run.</w:t>
      </w:r>
    </w:p>
    <w:p>
      <w:pPr>
        <w:pStyle w:val="BodyText"/>
      </w:pPr>
      <w:r>
        <w:t xml:space="preserve">The difference is not academic. Suppose a Chief sees a runtime record marked</w:t>
      </w:r>
      <w:r>
        <w:t xml:space="preserve"> </w:t>
      </w:r>
      <w:r>
        <w:rPr>
          <w:rStyle w:val="VerbatimChar"/>
        </w:rPr>
        <w:t xml:space="preserve">RUNNING</w:t>
      </w:r>
      <w:r>
        <w:t xml:space="preserve"> </w:t>
      </w:r>
      <w:r>
        <w:t xml:space="preserve">but cannot resolve it to an owner or a valid process. A weak central system may classify it as completed because it cannot make sense of it, or classify it as live because the label looks alarming. Both choices hide uncertainty.</w:t>
      </w:r>
    </w:p>
    <w:p>
      <w:pPr>
        <w:pStyle w:val="BodyText"/>
      </w:pPr>
      <w:r>
        <w:t xml:space="preserve">A stronger reconciler says what it knows: an unresolved record exists; the owner is not yet confirmed; the record is not actionable until the owner validates it. It does not convert ambiguity into a command.</w:t>
      </w:r>
    </w:p>
    <w:p>
      <w:pPr>
        <w:pStyle w:val="BodyText"/>
      </w:pPr>
      <w:r>
        <w:t xml:space="preserve">That approach appeared in a local reconciliation seam built around run truth. The reconciler de-duplicated aliases, inspected records marked as running, used owner-native run-lineage information where available, and treated malformed or ownerless records as explicit unknowns rather than allowing them to disappear. It produced a useful view without modifying the owner repositories, changing mission state, or asserting that it had become the canonical active-run surface.</w:t>
      </w:r>
    </w:p>
    <w:p>
      <w:pPr>
        <w:pStyle w:val="BodyText"/>
      </w:pPr>
      <w:r>
        <w:t xml:space="preserve">That last boundary is the important one.</w:t>
      </w:r>
    </w:p>
    <w:p>
      <w:pPr>
        <w:pStyle w:val="BodyText"/>
      </w:pPr>
      <w:r>
        <w:t xml:space="preserve">The reconciler was valuable because it exposed the gap between what an executive needed to know and what the owner systems could yet provide. It was not valuable because it created a new, superior truth. The work remained incomplete until the owners could supply canonical active-run and live-approval projections through their own contracts.</w:t>
      </w:r>
    </w:p>
    <w:p>
      <w:pPr>
        <w:pStyle w:val="BodyText"/>
      </w:pPr>
      <w:r>
        <w:t xml:space="preserve">A Chief that cannot preserve this boundary becomes a second operating system. Then every disagreement becomes a political or technical argument about which database wins. The executive gets a polished answer, but nobody can explain who is authorized to correct it.</w:t>
      </w:r>
    </w:p>
    <w:p>
      <w:pPr>
        <w:pStyle w:val="BodyText"/>
      </w:pPr>
      <w:r>
        <w:t xml:space="preserve">The safer pattern is layered:</w:t>
      </w:r>
    </w:p>
    <w:p>
      <w:pPr>
        <w:pStyle w:val="SourceCode"/>
      </w:pPr>
      <w:r>
        <w:rPr>
          <w:rStyle w:val="VerbatimChar"/>
        </w:rPr>
        <w:t xml:space="preserve">native owner systems</w:t>
      </w:r>
      <w:r>
        <w:br/>
      </w:r>
      <w:r>
        <w:rPr>
          <w:rStyle w:val="VerbatimChar"/>
        </w:rPr>
        <w:t xml:space="preserve">        ↓</w:t>
      </w:r>
      <w:r>
        <w:br/>
      </w:r>
      <w:r>
        <w:rPr>
          <w:rStyle w:val="VerbatimChar"/>
        </w:rPr>
        <w:t xml:space="preserve">validated, read-oriented projections</w:t>
      </w:r>
      <w:r>
        <w:br/>
      </w:r>
      <w:r>
        <w:rPr>
          <w:rStyle w:val="VerbatimChar"/>
        </w:rPr>
        <w:t xml:space="preserve">        ↓</w:t>
      </w:r>
      <w:r>
        <w:br/>
      </w:r>
      <w:r>
        <w:rPr>
          <w:rStyle w:val="VerbatimChar"/>
        </w:rPr>
        <w:t xml:space="preserve">Chief reconciliation of agreement, conflict, freshness, and gaps</w:t>
      </w:r>
      <w:r>
        <w:br/>
      </w:r>
      <w:r>
        <w:rPr>
          <w:rStyle w:val="VerbatimChar"/>
        </w:rPr>
        <w:t xml:space="preserve">        ↓</w:t>
      </w:r>
      <w:r>
        <w:br/>
      </w:r>
      <w:r>
        <w:rPr>
          <w:rStyle w:val="VerbatimChar"/>
        </w:rPr>
        <w:t xml:space="preserve">sponsor decision and human authorization</w:t>
      </w:r>
      <w:r>
        <w:br/>
      </w:r>
      <w:r>
        <w:rPr>
          <w:rStyle w:val="VerbatimChar"/>
        </w:rPr>
        <w:t xml:space="preserve">        ↓</w:t>
      </w:r>
      <w:r>
        <w:br/>
      </w:r>
      <w:r>
        <w:rPr>
          <w:rStyle w:val="VerbatimChar"/>
        </w:rPr>
        <w:t xml:space="preserve">owner-system change through the appropriate contract</w:t>
      </w:r>
    </w:p>
    <w:p>
      <w:pPr>
        <w:pStyle w:val="FirstParagraph"/>
      </w:pPr>
      <w:r>
        <w:t xml:space="preserve">The direction matters. The Chief reads and reconciles upward. It does not write truth downward merely because the joined view looks more complete.</w:t>
      </w:r>
    </w:p>
    <w:bookmarkEnd w:id="93"/>
    <w:bookmarkStart w:id="94" w:name="a-summary-must-carry-its-missing-pieces"/>
    <w:p>
      <w:pPr>
        <w:pStyle w:val="Heading2"/>
      </w:pPr>
      <w:r>
        <w:t xml:space="preserve">A summary must carry its missing pieces</w:t>
      </w:r>
    </w:p>
    <w:p>
      <w:pPr>
        <w:pStyle w:val="FirstParagraph"/>
      </w:pPr>
      <w:r>
        <w:t xml:space="preserve">A useful executive brief is not a maximal report. It is a compressed decision artifact.</w:t>
      </w:r>
    </w:p>
    <w:p>
      <w:pPr>
        <w:pStyle w:val="BodyText"/>
      </w:pPr>
      <w:r>
        <w:t xml:space="preserve">For each worker and ongoing responsibility, the Chief should be able to present something like this:</w:t>
      </w:r>
    </w:p>
    <w:p>
      <w:pPr>
        <w:pStyle w:val="Compact"/>
        <w:numPr>
          <w:ilvl w:val="0"/>
          <w:numId w:val="1015"/>
        </w:numPr>
      </w:pPr>
      <w:r>
        <w:t xml:space="preserve">The named responsibility and its accountable human owner.</w:t>
      </w:r>
    </w:p>
    <w:p>
      <w:pPr>
        <w:pStyle w:val="Compact"/>
        <w:numPr>
          <w:ilvl w:val="0"/>
          <w:numId w:val="1015"/>
        </w:numPr>
      </w:pPr>
      <w:r>
        <w:t xml:space="preserve">The current portfolio disposition and execution policy, with the owner that supplied each.</w:t>
      </w:r>
    </w:p>
    <w:p>
      <w:pPr>
        <w:pStyle w:val="Compact"/>
        <w:numPr>
          <w:ilvl w:val="0"/>
          <w:numId w:val="1015"/>
        </w:numPr>
      </w:pPr>
      <w:r>
        <w:t xml:space="preserve">What runtime evidence is fresh enough to act on, and what remains unresolved.</w:t>
      </w:r>
    </w:p>
    <w:p>
      <w:pPr>
        <w:pStyle w:val="Compact"/>
        <w:numPr>
          <w:ilvl w:val="0"/>
          <w:numId w:val="1015"/>
        </w:numPr>
      </w:pPr>
      <w:r>
        <w:t xml:space="preserve">Any open authority gate or approval that blocks a consequential action.</w:t>
      </w:r>
    </w:p>
    <w:p>
      <w:pPr>
        <w:pStyle w:val="Compact"/>
        <w:numPr>
          <w:ilvl w:val="0"/>
          <w:numId w:val="1015"/>
        </w:numPr>
      </w:pPr>
      <w:r>
        <w:t xml:space="preserve">The evidence that supports continuation or intervention.</w:t>
      </w:r>
    </w:p>
    <w:p>
      <w:pPr>
        <w:pStyle w:val="Compact"/>
        <w:numPr>
          <w:ilvl w:val="0"/>
          <w:numId w:val="1015"/>
        </w:numPr>
      </w:pPr>
      <w:r>
        <w:t xml:space="preserve">Conflicts between owner views.</w:t>
      </w:r>
    </w:p>
    <w:p>
      <w:pPr>
        <w:pStyle w:val="Compact"/>
        <w:numPr>
          <w:ilvl w:val="0"/>
          <w:numId w:val="1015"/>
        </w:numPr>
      </w:pPr>
      <w:r>
        <w:t xml:space="preserve">The specific decision requested of the sponsor.</w:t>
      </w:r>
    </w:p>
    <w:p>
      <w:pPr>
        <w:pStyle w:val="FirstParagraph"/>
      </w:pPr>
      <w:r>
        <w:t xml:space="preserve">The most important field is often the conflict or gap.</w:t>
      </w:r>
    </w:p>
    <w:p>
      <w:pPr>
        <w:pStyle w:val="BodyText"/>
      </w:pPr>
      <w:r>
        <w:t xml:space="preserve">A decision brief that says</w:t>
      </w:r>
      <w:r>
        <w:t xml:space="preserve"> </w:t>
      </w:r>
      <w:r>
        <w:t xml:space="preserve">“</w:t>
      </w:r>
      <w:r>
        <w:t xml:space="preserve">all systems normal</w:t>
      </w:r>
      <w:r>
        <w:t xml:space="preserve">”</w:t>
      </w:r>
      <w:r>
        <w:t xml:space="preserve"> </w:t>
      </w:r>
      <w:r>
        <w:t xml:space="preserve">may be pleasant to receive, but it is not useful if the system has no current evidence for a live approval, if its capacity data is unavailable, or if a run cannot be joined to a valid owner. The executive needs to know whether the absence is harmless, expected, or decision-blocking.</w:t>
      </w:r>
    </w:p>
    <w:p>
      <w:pPr>
        <w:pStyle w:val="BodyText"/>
      </w:pPr>
      <w:r>
        <w:t xml:space="preserve">This is where language discipline matters.</w:t>
      </w:r>
      <w:r>
        <w:t xml:space="preserve"> </w:t>
      </w:r>
      <w:r>
        <w:t xml:space="preserve">“</w:t>
      </w:r>
      <w:r>
        <w:t xml:space="preserve">Unknown</w:t>
      </w:r>
      <w:r>
        <w:t xml:space="preserve">”</w:t>
      </w:r>
      <w:r>
        <w:t xml:space="preserve"> </w:t>
      </w:r>
      <w:r>
        <w:t xml:space="preserve">is not the same as</w:t>
      </w:r>
      <w:r>
        <w:t xml:space="preserve"> </w:t>
      </w:r>
      <w:r>
        <w:t xml:space="preserve">“</w:t>
      </w:r>
      <w:r>
        <w:t xml:space="preserve">zero.</w:t>
      </w:r>
      <w:r>
        <w:t xml:space="preserve">”</w:t>
      </w:r>
      <w:r>
        <w:t xml:space="preserve"> </w:t>
      </w:r>
      <w:r>
        <w:t xml:space="preserve">“</w:t>
      </w:r>
      <w:r>
        <w:t xml:space="preserve">Not observed</w:t>
      </w:r>
      <w:r>
        <w:t xml:space="preserve">”</w:t>
      </w:r>
      <w:r>
        <w:t xml:space="preserve"> </w:t>
      </w:r>
      <w:r>
        <w:t xml:space="preserve">is not the same as</w:t>
      </w:r>
      <w:r>
        <w:t xml:space="preserve"> </w:t>
      </w:r>
      <w:r>
        <w:t xml:space="preserve">“</w:t>
      </w:r>
      <w:r>
        <w:t xml:space="preserve">does not exist.</w:t>
      </w:r>
      <w:r>
        <w:t xml:space="preserve">”</w:t>
      </w:r>
      <w:r>
        <w:t xml:space="preserve"> </w:t>
      </w:r>
      <w:r>
        <w:t xml:space="preserve">“</w:t>
      </w:r>
      <w:r>
        <w:t xml:space="preserve">The Chief cannot confirm a live approval</w:t>
      </w:r>
      <w:r>
        <w:t xml:space="preserve">”</w:t>
      </w:r>
      <w:r>
        <w:t xml:space="preserve"> </w:t>
      </w:r>
      <w:r>
        <w:t xml:space="preserve">is not the same as</w:t>
      </w:r>
      <w:r>
        <w:t xml:space="preserve"> </w:t>
      </w:r>
      <w:r>
        <w:t xml:space="preserve">“</w:t>
      </w:r>
      <w:r>
        <w:t xml:space="preserve">there is no approval.</w:t>
      </w:r>
      <w:r>
        <w:t xml:space="preserve">”</w:t>
      </w:r>
      <w:r>
        <w:t xml:space="preserve"> </w:t>
      </w:r>
      <w:r>
        <w:t xml:space="preserve">The first statement preserves the possibility that an owner can resolve the question. The second can erase a real obligation.</w:t>
      </w:r>
    </w:p>
    <w:p>
      <w:pPr>
        <w:pStyle w:val="BodyText"/>
      </w:pPr>
      <w:r>
        <w:t xml:space="preserve">The same applies to staleness. A nightly reconciliation report can be correct when produced and still be too old for a decision about a live, consequential action. The answer is not to reject summaries. It is to make freshness visible and to route consequential decisions back to the live owner surface.</w:t>
      </w:r>
    </w:p>
    <w:p>
      <w:pPr>
        <w:pStyle w:val="BodyText"/>
      </w:pPr>
      <w:r>
        <w:t xml:space="preserve">This is one reason a Chief should compress meaning rather than simply centralize data. A good synthesis distinguishes:</w:t>
      </w:r>
    </w:p>
    <w:p>
      <w:pPr>
        <w:pStyle w:val="Compact"/>
        <w:numPr>
          <w:ilvl w:val="0"/>
          <w:numId w:val="1016"/>
        </w:numPr>
      </w:pPr>
      <w:r>
        <w:t xml:space="preserve">a fact supplied by an owner;</w:t>
      </w:r>
    </w:p>
    <w:p>
      <w:pPr>
        <w:pStyle w:val="Compact"/>
        <w:numPr>
          <w:ilvl w:val="0"/>
          <w:numId w:val="1016"/>
        </w:numPr>
      </w:pPr>
      <w:r>
        <w:t xml:space="preserve">an inference made from several owner facts;</w:t>
      </w:r>
    </w:p>
    <w:p>
      <w:pPr>
        <w:pStyle w:val="Compact"/>
        <w:numPr>
          <w:ilvl w:val="0"/>
          <w:numId w:val="1016"/>
        </w:numPr>
      </w:pPr>
      <w:r>
        <w:t xml:space="preserve">a conflict needing resolution;</w:t>
      </w:r>
    </w:p>
    <w:p>
      <w:pPr>
        <w:pStyle w:val="Compact"/>
        <w:numPr>
          <w:ilvl w:val="0"/>
          <w:numId w:val="1016"/>
        </w:numPr>
      </w:pPr>
      <w:r>
        <w:t xml:space="preserve">a gap that prevents a safe decision; and</w:t>
      </w:r>
    </w:p>
    <w:p>
      <w:pPr>
        <w:pStyle w:val="Compact"/>
        <w:numPr>
          <w:ilvl w:val="0"/>
          <w:numId w:val="1016"/>
        </w:numPr>
      </w:pPr>
      <w:r>
        <w:t xml:space="preserve">a human direction that changes operational attention.</w:t>
      </w:r>
    </w:p>
    <w:p>
      <w:pPr>
        <w:pStyle w:val="FirstParagraph"/>
      </w:pPr>
      <w:r>
        <w:t xml:space="preserve">Those categories prevent a summary from laundering uncertainty into confidence.</w:t>
      </w:r>
    </w:p>
    <w:bookmarkEnd w:id="94"/>
    <w:bookmarkStart w:id="95" w:name="Xa6027f9d497081ca4da1776fe2c492d4c6b25b2"/>
    <w:p>
      <w:pPr>
        <w:pStyle w:val="Heading2"/>
      </w:pPr>
      <w:r>
        <w:t xml:space="preserve">Human decisions are part of operational truth</w:t>
      </w:r>
    </w:p>
    <w:p>
      <w:pPr>
        <w:pStyle w:val="FirstParagraph"/>
      </w:pPr>
      <w:r>
        <w:t xml:space="preserve">Not every decision happens inside a system that the Chief can observe.</w:t>
      </w:r>
    </w:p>
    <w:p>
      <w:pPr>
        <w:pStyle w:val="BodyText"/>
      </w:pPr>
      <w:r>
        <w:t xml:space="preserve">A workforce sponsor may review a document in an offline meeting, decide that a proposed commission should not proceed, or direct a team to stop a line of work. If that decision is genuinely authoritative, it must become durable operational truth when the responsible human reports it. Otherwise the organization creates the worst of both worlds: the human thinks the decision is settled while the operating systems continue to surface an obsolete request for attention.</w:t>
      </w:r>
    </w:p>
    <w:p>
      <w:pPr>
        <w:pStyle w:val="BodyText"/>
      </w:pPr>
      <w:r>
        <w:t xml:space="preserve">An offline human decision in my estate closed a documentation question and changed the operating attention required from the Chief. The Chief could reconcile that change, but the final publication action and governed-run approvals remained with me. The system could preserve and reflect the decision; it could not claim the authority that made the decision valid.</w:t>
      </w:r>
    </w:p>
    <w:p>
      <w:pPr>
        <w:pStyle w:val="BodyText"/>
      </w:pPr>
      <w:r>
        <w:t xml:space="preserve">That separation is healthy.</w:t>
      </w:r>
    </w:p>
    <w:p>
      <w:pPr>
        <w:pStyle w:val="BodyText"/>
      </w:pPr>
      <w:r>
        <w:t xml:space="preserve">The digital worker, Chief, or dashboard can prepare evidence, preserve an approval artifact, remind an accountable person that a decision is pending, and show the consequence of a choice. None should make the accountable person disappear from the record.</w:t>
      </w:r>
    </w:p>
    <w:p>
      <w:pPr>
        <w:pStyle w:val="BodyText"/>
      </w:pPr>
      <w:r>
        <w:t xml:space="preserve">For the sponsor, the rule is simple: when an offline decision changes authority, scope, disposition, or execution policy, record it in the owner system or in the governed path that the owner recognizes. Do not rely on a conversational memory, a dashboard annotation, or a presumed shared understanding.</w:t>
      </w:r>
    </w:p>
    <w:p>
      <w:pPr>
        <w:pStyle w:val="BodyText"/>
      </w:pPr>
      <w:r>
        <w:t xml:space="preserve">The aim is not to create paperwork around every judgment. It is to make the judgments that change operational reality inspectable later.</w:t>
      </w:r>
    </w:p>
    <w:bookmarkEnd w:id="95"/>
    <w:bookmarkStart w:id="96" w:name="X3d0ad312a6d6035cdc23561322427e62e79d537"/>
    <w:p>
      <w:pPr>
        <w:pStyle w:val="Heading2"/>
      </w:pPr>
      <w:r>
        <w:t xml:space="preserve">Graphs can expose relationships without becoming the brain</w:t>
      </w:r>
    </w:p>
    <w:p>
      <w:pPr>
        <w:pStyle w:val="FirstParagraph"/>
      </w:pPr>
      <w:r>
        <w:t xml:space="preserve">A graph is useful when it makes relationships that already matter visible: which worker is bound to which charter, which authority supports an action, which source supports a claim, which handoff produced an artifact, and which run produced the evidence now under review.</w:t>
      </w:r>
    </w:p>
    <w:p>
      <w:pPr>
        <w:pStyle w:val="BodyText"/>
      </w:pPr>
      <w:r>
        <w:t xml:space="preserve">It becomes harmful when its existence is treated as evidence that it owns those relationships better than the systems that created them.</w:t>
      </w:r>
    </w:p>
    <w:p>
      <w:pPr>
        <w:pStyle w:val="BodyText"/>
      </w:pPr>
      <w:r>
        <w:t xml:space="preserve">In my estate, graph-engineering work was deliberately additive and read-only. It produced relationship projections and validation evidence while leaving owner repositories, runtime authority, credentials, and canonical source systems unchanged. Recovery evidence remained a shadow projection rather than proof of runtime adoption. This was a disciplined choice. A relationship view can improve traceability without silently acquiring execution authority.</w:t>
      </w:r>
    </w:p>
    <w:p>
      <w:pPr>
        <w:pStyle w:val="BodyText"/>
      </w:pPr>
      <w:r>
        <w:t xml:space="preserve">That is the right test for a graph in this book: does it make authority, evidence, handoffs, recovery, or a decision gap easier to inspect?</w:t>
      </w:r>
    </w:p>
    <w:p>
      <w:pPr>
        <w:pStyle w:val="BodyText"/>
      </w:pPr>
      <w:r>
        <w:t xml:space="preserve">If yes, it may be worth building as a projection. If not, it may be decorative architecture.</w:t>
      </w:r>
    </w:p>
    <w:p>
      <w:pPr>
        <w:pStyle w:val="BodyText"/>
      </w:pPr>
      <w:r>
        <w:t xml:space="preserve">The sponsor should be particularly suspicious of a graph that promises to cure incomplete ownership. A graph can show that a worker’s identity is joined to a mission by convention rather than a durable shared key. It cannot make the convention reliable by drawing an edge. It can show that a source grant exists while a particular transport cannot release the evidence. It cannot grant permission. It can reveal that a recovery path lacks owner validation. It cannot complete that validation.</w:t>
      </w:r>
    </w:p>
    <w:p>
      <w:pPr>
        <w:pStyle w:val="BodyText"/>
      </w:pPr>
      <w:r>
        <w:t xml:space="preserve">A graph is an excellent place to display a contradiction. It is a poor place to hide one.</w:t>
      </w:r>
    </w:p>
    <w:p>
      <w:pPr>
        <w:pStyle w:val="BodyText"/>
      </w:pPr>
      <w:r>
        <w:t xml:space="preserve">That is why the local graph work retained unresolved joins and explicit cross-owner gaps rather than guessing. A neat graph with invented edges is worse than an incomplete graph with named uncertainty. The first makes a false claim about the organization. The second gives the organization work to do.</w:t>
      </w:r>
    </w:p>
    <w:bookmarkEnd w:id="96"/>
    <w:bookmarkStart w:id="97" w:name="Xe47412eb25a6d611a419f5b24219006d634f652"/>
    <w:p>
      <w:pPr>
        <w:pStyle w:val="Heading2"/>
      </w:pPr>
      <w:r>
        <w:t xml:space="preserve">Useful external primitives, narrowly applied</w:t>
      </w:r>
    </w:p>
    <w:p>
      <w:pPr>
        <w:pStyle w:val="FirstParagraph"/>
      </w:pPr>
      <w:r>
        <w:t xml:space="preserve">Several current tools make pieces of this pattern easier to implement. None decides where enterprise truth should live.</w:t>
      </w:r>
    </w:p>
    <w:p>
      <w:pPr>
        <w:pStyle w:val="BodyText"/>
      </w:pPr>
      <w:r>
        <w:t xml:space="preserve">OpenAI’s Symphony is a draft orchestration specification with an experimental reference implementation. It can poll an issue tracker, create a workspace for work, and run an agent session. That is useful for coordinating bounded work. It is not a rich enterprise control plane, a durable owner database, or a substitute for human review and authority.</w:t>
      </w:r>
    </w:p>
    <w:p>
      <w:pPr>
        <w:pStyle w:val="BodyText"/>
      </w:pPr>
      <w:r>
        <w:t xml:space="preserve">ScienceFlow presents recoverable research workspaces and describes state in terms of workspace, memory, evidence, and resources. That is a useful reminder that recovery needs more than a transcript. Its four-part state description belongs to ScienceFlow’s research protocol; it is not a universal model for enterprise operational truth.</w:t>
      </w:r>
    </w:p>
    <w:p>
      <w:pPr>
        <w:pStyle w:val="BodyText"/>
      </w:pPr>
      <w:r>
        <w:t xml:space="preserve">LangGraph, Microsoft Agent Framework, the OpenAI Agents SDK, and Google ADK expose combinations of typed state, checkpoints, routing, handoffs, sessions, tracing, retries, and human-in-the-loop controls. These are valuable engineering primitives. They can help a team make an edge explicit or resume a bounded workflow after interruption.</w:t>
      </w:r>
    </w:p>
    <w:p>
      <w:pPr>
        <w:pStyle w:val="BodyText"/>
      </w:pPr>
      <w:r>
        <w:t xml:space="preserve">They do not settle the organizational questions.</w:t>
      </w:r>
    </w:p>
    <w:p>
      <w:pPr>
        <w:pStyle w:val="BodyText"/>
      </w:pPr>
      <w:r>
        <w:t xml:space="preserve">A checkpoint can preserve state without establishing who is authorized to approve the next step. A typed handoff can prevent a field from vanishing without deciding whether the field is evidence sufficient for a commission. A tracing system can show that a tool was called without proving that the call was within the worker’s authority. An issue workspace can organize work without becoming the owner of a portfolio disposition.</w:t>
      </w:r>
    </w:p>
    <w:p>
      <w:pPr>
        <w:pStyle w:val="BodyText"/>
      </w:pPr>
      <w:r>
        <w:t xml:space="preserve">The sponsor should welcome these primitives while refusing to confuse them with the commission itself. The governing question remains: should this named digital worker own this ongoing responsibility now, under stated authority, with sufficient evidence, a lifecycle, evaluation, and a stop path?</w:t>
      </w:r>
    </w:p>
    <w:p>
      <w:pPr>
        <w:pStyle w:val="BodyText"/>
      </w:pPr>
      <w:r>
        <w:t xml:space="preserve">No framework answers that on the sponsor’s behalf.</w:t>
      </w:r>
    </w:p>
    <w:bookmarkEnd w:id="97"/>
    <w:bookmarkStart w:id="98" w:name="X94d8bfd4bb89e2a5bb344b3a274545a648281d5"/>
    <w:p>
      <w:pPr>
        <w:pStyle w:val="Heading2"/>
      </w:pPr>
      <w:r>
        <w:t xml:space="preserve">Design the Chief’s output around decisions</w:t>
      </w:r>
    </w:p>
    <w:p>
      <w:pPr>
        <w:pStyle w:val="FirstParagraph"/>
      </w:pPr>
      <w:r>
        <w:t xml:space="preserve">The most useful synthesis is decision-shaped rather than architecture-shaped.</w:t>
      </w:r>
    </w:p>
    <w:p>
      <w:pPr>
        <w:pStyle w:val="BodyText"/>
      </w:pPr>
      <w:r>
        <w:t xml:space="preserve">When a Chief reports on a worker, the sponsor should not need to navigate a framework diagram or inspect every source system. The report should lead with the decision and preserve a path back to the underlying owners.</w:t>
      </w:r>
    </w:p>
    <w:p>
      <w:pPr>
        <w:pStyle w:val="BodyText"/>
      </w:pPr>
      <w:r>
        <w:t xml:space="preserve">For a continuation decision, that might mean:</w:t>
      </w:r>
    </w:p>
    <w:p>
      <w:pPr>
        <w:pStyle w:val="BlockText"/>
      </w:pPr>
      <w:r>
        <w:t xml:space="preserve">The worker’s charter and authority remain valid. The operating owner reports that execution is currently supervised rather than unattended. The latest outcome evidence meets the declared threshold, but a source-freshness gap prevents a stronger claim about continuity. No live approval is reported by the owner surface. The decision is whether to continue under the current supervised boundary or defer further scope expansion until freshness is repaired.</w:t>
      </w:r>
    </w:p>
    <w:p>
      <w:pPr>
        <w:pStyle w:val="FirstParagraph"/>
      </w:pPr>
      <w:r>
        <w:t xml:space="preserve">That is one answer, but it contains several different kinds of truth. The Chief has not declared the worker</w:t>
      </w:r>
      <w:r>
        <w:t xml:space="preserve"> </w:t>
      </w:r>
      <w:r>
        <w:t xml:space="preserve">“</w:t>
      </w:r>
      <w:r>
        <w:t xml:space="preserve">good.</w:t>
      </w:r>
      <w:r>
        <w:t xml:space="preserve">”</w:t>
      </w:r>
      <w:r>
        <w:t xml:space="preserve"> </w:t>
      </w:r>
      <w:r>
        <w:t xml:space="preserve">It has made the decision legible.</w:t>
      </w:r>
    </w:p>
    <w:p>
      <w:pPr>
        <w:pStyle w:val="BodyText"/>
      </w:pPr>
      <w:r>
        <w:t xml:space="preserve">For an unresolved conflict, the report must be equally precise:</w:t>
      </w:r>
    </w:p>
    <w:p>
      <w:pPr>
        <w:pStyle w:val="BlockText"/>
      </w:pPr>
      <w:r>
        <w:t xml:space="preserve">The portfolio owner reports the mission is stopped, but the runtime owner shows an active unresolved record. The change cannot be committed until the accountable human resolves the conflict between the two owner systems.</w:t>
      </w:r>
    </w:p>
    <w:p>
      <w:pPr>
        <w:pStyle w:val="FirstParagraph"/>
      </w:pPr>
      <w:r>
        <w:t xml:space="preserve">Again, the value comes from refusing a false simplification. An unresolved run is not an inconvenience to suppress.</w:t>
      </w:r>
    </w:p>
    <w:p>
      <w:pPr>
        <w:pStyle w:val="BodyText"/>
      </w:pPr>
      <w:r>
        <w:t xml:space="preserve">The sponsor can judge the report by asking five questions:</w:t>
      </w:r>
    </w:p>
    <w:p>
      <w:pPr>
        <w:pStyle w:val="Compact"/>
        <w:numPr>
          <w:ilvl w:val="0"/>
          <w:numId w:val="1017"/>
        </w:numPr>
      </w:pPr>
      <w:r>
        <w:t xml:space="preserve">Which owner supplied each fact?</w:t>
      </w:r>
    </w:p>
    <w:p>
      <w:pPr>
        <w:pStyle w:val="Compact"/>
        <w:numPr>
          <w:ilvl w:val="0"/>
          <w:numId w:val="1017"/>
        </w:numPr>
      </w:pPr>
      <w:r>
        <w:t xml:space="preserve">What does the Chief infer, rather than directly observe?</w:t>
      </w:r>
    </w:p>
    <w:p>
      <w:pPr>
        <w:pStyle w:val="Compact"/>
        <w:numPr>
          <w:ilvl w:val="0"/>
          <w:numId w:val="1017"/>
        </w:numPr>
      </w:pPr>
      <w:r>
        <w:t xml:space="preserve">What is stale, unknown, or contradictory?</w:t>
      </w:r>
    </w:p>
    <w:p>
      <w:pPr>
        <w:pStyle w:val="Compact"/>
        <w:numPr>
          <w:ilvl w:val="0"/>
          <w:numId w:val="1017"/>
        </w:numPr>
      </w:pPr>
      <w:r>
        <w:t xml:space="preserve">Which human has authority to change the next consequential state?</w:t>
      </w:r>
    </w:p>
    <w:p>
      <w:pPr>
        <w:pStyle w:val="Compact"/>
        <w:numPr>
          <w:ilvl w:val="0"/>
          <w:numId w:val="1017"/>
        </w:numPr>
      </w:pPr>
      <w:r>
        <w:t xml:space="preserve">What choice is being requested now?</w:t>
      </w:r>
    </w:p>
    <w:p>
      <w:pPr>
        <w:pStyle w:val="FirstParagraph"/>
      </w:pPr>
      <w:r>
        <w:t xml:space="preserve">If the report cannot answer those questions, it may be informative, but it is not yet a trustworthy basis for commissioning judgment.</w:t>
      </w:r>
    </w:p>
    <w:bookmarkEnd w:id="98"/>
    <w:bookmarkStart w:id="99" w:name="X0b174e5195abc7e96b05ce928f0c1cffe285f0d"/>
    <w:p>
      <w:pPr>
        <w:pStyle w:val="Heading2"/>
      </w:pPr>
      <w:r>
        <w:t xml:space="preserve">The executive does not need a perfect control plane</w:t>
      </w:r>
    </w:p>
    <w:p>
      <w:pPr>
        <w:pStyle w:val="FirstParagraph"/>
      </w:pPr>
      <w:r>
        <w:t xml:space="preserve">The desire for a complete central picture is understandable. A workforce sponsor is accountable across systems that were not designed to agree. The answer is not to wait until every system is replaced by a single platform. That would delay the actual governance work and create a new concentration of untested authority.</w:t>
      </w:r>
    </w:p>
    <w:p>
      <w:pPr>
        <w:pStyle w:val="BodyText"/>
      </w:pPr>
      <w:r>
        <w:t xml:space="preserve">Start smaller.</w:t>
      </w:r>
    </w:p>
    <w:p>
      <w:pPr>
        <w:pStyle w:val="BodyText"/>
      </w:pPr>
      <w:r>
        <w:t xml:space="preserve">Name the dimensions that must remain distinct. Identify the owner of each. Require the Chief to show provenance, freshness, gaps, and conflicts. Keep projections read-oriented until the relevant owner accepts a governed contract for change. Treat missing information as a visible condition, not a blank to fill with a guess.</w:t>
      </w:r>
    </w:p>
    <w:p>
      <w:pPr>
        <w:pStyle w:val="BodyText"/>
      </w:pPr>
      <w:r>
        <w:t xml:space="preserve">This is less glamorous than announcing a central AI control plane. It is more useful when a worker’s responsibility must be narrowed, a run must be investigated, a project must be parked, or a human must approve the next consequential action.</w:t>
      </w:r>
    </w:p>
    <w:p>
      <w:pPr>
        <w:pStyle w:val="BodyText"/>
      </w:pPr>
      <w:r>
        <w:t xml:space="preserve">The Chief’s output should make the sponsor faster at judgment, not more dependent on a black box.</w:t>
      </w:r>
    </w:p>
    <w:bookmarkEnd w:id="99"/>
    <w:bookmarkStart w:id="110" w:name="sources-and-evidence-notes-5"/>
    <w:p>
      <w:pPr>
        <w:pStyle w:val="Heading2"/>
      </w:pPr>
      <w:r>
        <w:t xml:space="preserve">Sources and evidence notes</w:t>
      </w:r>
    </w:p>
    <w:p>
      <w:pPr>
        <w:numPr>
          <w:ilvl w:val="0"/>
          <w:numId w:val="1018"/>
        </w:numPr>
      </w:pPr>
      <w:r>
        <w:rPr>
          <w:i/>
          <w:iCs/>
        </w:rPr>
        <w:t xml:space="preserve">The book’s internal planning repository</w:t>
      </w:r>
      <w:r>
        <w:t xml:space="preserve"> </w:t>
      </w:r>
      <w:r>
        <w:t xml:space="preserve">— Chapter 6 scope, reader question, required proof points, exclusions, and target range.</w:t>
      </w:r>
    </w:p>
    <w:p>
      <w:pPr>
        <w:numPr>
          <w:ilvl w:val="0"/>
          <w:numId w:val="1018"/>
        </w:numPr>
      </w:pPr>
      <w:r>
        <w:rPr>
          <w:i/>
          <w:iCs/>
        </w:rPr>
        <w:t xml:space="preserve">The book’s internal planning repository</w:t>
      </w:r>
      <w:r>
        <w:t xml:space="preserve"> </w:t>
      </w:r>
      <w:r>
        <w:t xml:space="preserve">— chapter promise—owner-native truth and Chief synthesis, not a central oracle or framework tour.</w:t>
      </w:r>
    </w:p>
    <w:p>
      <w:pPr>
        <w:numPr>
          <w:ilvl w:val="0"/>
          <w:numId w:val="1018"/>
        </w:numPr>
      </w:pPr>
      <w:r>
        <w:rPr>
          <w:i/>
          <w:iCs/>
        </w:rPr>
        <w:t xml:space="preserve">The book’s internal planning repository</w:t>
      </w:r>
      <w:r>
        <w:t xml:space="preserve"> </w:t>
      </w:r>
      <w:r>
        <w:t xml:space="preserve">— evidence-language and draft-output requirements.</w:t>
      </w:r>
    </w:p>
    <w:p>
      <w:pPr>
        <w:numPr>
          <w:ilvl w:val="0"/>
          <w:numId w:val="1018"/>
        </w:numPr>
      </w:pPr>
      <w:r>
        <w:rPr>
          <w:i/>
          <w:iCs/>
        </w:rPr>
        <w:t xml:space="preserve">The book’s internal planning repository</w:t>
      </w:r>
      <w:r>
        <w:t xml:space="preserve"> </w:t>
      </w:r>
      <w:r>
        <w:t xml:space="preserve">— approved reader, governing question, accountability boundary, evidence ceiling, and three-book exclusions. Scope: this book’s product contract and proposed operating model, not enterprise-wide validation.</w:t>
      </w:r>
    </w:p>
    <w:p>
      <w:pPr>
        <w:numPr>
          <w:ilvl w:val="0"/>
          <w:numId w:val="1018"/>
        </w:numPr>
      </w:pPr>
      <w:r>
        <w:rPr>
          <w:i/>
          <w:iCs/>
        </w:rPr>
        <w:t xml:space="preserve">The book’s internal planning repository</w:t>
      </w:r>
      <w:r>
        <w:t xml:space="preserve"> </w:t>
      </w:r>
      <w:r>
        <w:t xml:space="preserve">— approved governing question, three-book boundary, and additive owner-preserving graph boundary. Scope: product and estate framing.</w:t>
      </w:r>
    </w:p>
    <w:p>
      <w:pPr>
        <w:numPr>
          <w:ilvl w:val="0"/>
          <w:numId w:val="1018"/>
        </w:numPr>
      </w:pPr>
      <w:r>
        <w:rPr>
          <w:i/>
          <w:iCs/>
        </w:rPr>
        <w:t xml:space="preserve">The book’s internal pre-draft specifications</w:t>
      </w:r>
      <w:r>
        <w:t xml:space="preserve"> </w:t>
      </w:r>
      <w:r>
        <w:t xml:space="preserve">— orthogonal commissioning record and the proposed role of owner systems and Chief synthesis. Scope: book hypothesis, not a proven universal architecture.</w:t>
      </w:r>
    </w:p>
    <w:p>
      <w:pPr>
        <w:numPr>
          <w:ilvl w:val="0"/>
          <w:numId w:val="1018"/>
        </w:numPr>
      </w:pPr>
      <w:r>
        <w:rPr>
          <w:i/>
          <w:iCs/>
        </w:rPr>
        <w:t xml:space="preserve">The book’s internal research ledger</w:t>
      </w:r>
      <w:r>
        <w:t xml:space="preserve"> </w:t>
      </w:r>
      <w:r>
        <w:t xml:space="preserve">— bounded claims on additive graph projections, shadow recovery, orthogonal lifecycle truth, Chief reconciliation, offline human decisions, and framework capabilities.</w:t>
      </w:r>
    </w:p>
    <w:p>
      <w:pPr>
        <w:numPr>
          <w:ilvl w:val="0"/>
          <w:numId w:val="1018"/>
        </w:numPr>
      </w:pPr>
      <w:r>
        <w:rPr>
          <w:i/>
          <w:iCs/>
        </w:rPr>
        <w:t xml:space="preserve">The book’s internal research ledger</w:t>
      </w:r>
      <w:r>
        <w:t xml:space="preserve"> </w:t>
      </w:r>
      <w:r>
        <w:t xml:space="preserve">— estate-to-book mapping for graph projection, recoverable state, control-plane truth, and owner authority. Scope: Lee estate; owner implementation remains incomplete where noted.</w:t>
      </w:r>
    </w:p>
    <w:p>
      <w:pPr>
        <w:numPr>
          <w:ilvl w:val="0"/>
          <w:numId w:val="1018"/>
        </w:numPr>
      </w:pPr>
      <w:r>
        <w:rPr>
          <w:i/>
          <w:iCs/>
        </w:rPr>
        <w:t xml:space="preserve">The book’s internal research ledger</w:t>
      </w:r>
      <w:r>
        <w:t xml:space="preserve"> </w:t>
      </w:r>
      <w:r>
        <w:t xml:space="preserve">— bounded cases for graph projections, human decisions reconciling attention, and control-plane truth remediation. Scope: local practitioner cases. Enterprise transfer is untested.</w:t>
      </w:r>
    </w:p>
    <w:p>
      <w:pPr>
        <w:numPr>
          <w:ilvl w:val="0"/>
          <w:numId w:val="1018"/>
        </w:numPr>
      </w:pPr>
      <w:r>
        <w:rPr>
          <w:i/>
          <w:iCs/>
        </w:rPr>
        <w:t xml:space="preserve">The author’s operating decision log</w:t>
      </w:r>
      <w:r>
        <w:t xml:space="preserve"> </w:t>
      </w:r>
      <w:r>
        <w:t xml:space="preserve">— D32–D36 establish additive, owner-preserving, read-only graph work and shadow-only recovery; D62 records reconciliation of an offline human decision while retaining human publication authority; D79–D82 separate lifecycle dimensions and harden a read-only reconciliation seam without replacing owner lineage. Scope: observed Lee-estate decisions and evidence.</w:t>
      </w:r>
    </w:p>
    <w:p>
      <w:pPr>
        <w:numPr>
          <w:ilvl w:val="0"/>
          <w:numId w:val="1018"/>
        </w:numPr>
      </w:pPr>
      <w:r>
        <w:rPr>
          <w:i/>
          <w:iCs/>
        </w:rPr>
        <w:t xml:space="preserve">The author’s internal estate documentation</w:t>
      </w:r>
      <w:r>
        <w:t xml:space="preserve"> </w:t>
      </w:r>
      <w:r>
        <w:t xml:space="preserve">— analysis supporting relationship projections rather than a central graph database. Scope: estate architecture analysis; not a framework recommendation or enterprise standard.</w:t>
      </w:r>
    </w:p>
    <w:p>
      <w:pPr>
        <w:numPr>
          <w:ilvl w:val="0"/>
          <w:numId w:val="1018"/>
        </w:numPr>
      </w:pPr>
      <w:r>
        <w:rPr>
          <w:i/>
          <w:iCs/>
        </w:rPr>
        <w:t xml:space="preserve">The author’s internal estate documentation</w:t>
      </w:r>
      <w:r>
        <w:t xml:space="preserve"> </w:t>
      </w:r>
      <w:r>
        <w:t xml:space="preserve">— proposed separation of identity, portfolio disposition, execution policy, runtime truth, and capacity; layered owner projections and explicit unknowns. Scope: revised remediation plan; owner-contract implementation is still gated.</w:t>
      </w:r>
    </w:p>
    <w:p>
      <w:pPr>
        <w:numPr>
          <w:ilvl w:val="0"/>
          <w:numId w:val="1018"/>
        </w:numPr>
      </w:pPr>
      <w:hyperlink r:id="rId100">
        <w:r>
          <w:rPr>
            <w:rStyle w:val="Hyperlink"/>
          </w:rPr>
          <w:t xml:space="preserve">OpenAI,</w:t>
        </w:r>
        <w:r>
          <w:rPr>
            <w:rStyle w:val="Hyperlink"/>
          </w:rPr>
          <w:t xml:space="preserve"> </w:t>
        </w:r>
        <w:r>
          <w:rPr>
            <w:rStyle w:val="Hyperlink"/>
          </w:rPr>
          <w:t xml:space="preserve">“</w:t>
        </w:r>
        <w:r>
          <w:rPr>
            <w:rStyle w:val="Hyperlink"/>
          </w:rPr>
          <w:t xml:space="preserve">An open-source spec for Codex orchestration: Symphony</w:t>
        </w:r>
        <w:r>
          <w:rPr>
            <w:rStyle w:val="Hyperlink"/>
          </w:rPr>
          <w:t xml:space="preserve">”</w:t>
        </w:r>
        <w:r>
          <w:rPr>
            <w:rStyle w:val="Hyperlink"/>
          </w:rPr>
          <w:t xml:space="preserve"> </w:t>
        </w:r>
        <w:r>
          <w:rPr>
            <w:rStyle w:val="Hyperlink"/>
          </w:rPr>
          <w:t xml:space="preserve">(2026-04-27)</w:t>
        </w:r>
      </w:hyperlink>
      <w:r>
        <w:t xml:space="preserve"> </w:t>
      </w:r>
      <w:r>
        <w:t xml:space="preserve">and</w:t>
      </w:r>
      <w:r>
        <w:t xml:space="preserve"> </w:t>
      </w:r>
      <w:hyperlink r:id="rId101">
        <w:r>
          <w:rPr>
            <w:rStyle w:val="Hyperlink"/>
          </w:rPr>
          <w:t xml:space="preserve">Symphony</w:t>
        </w:r>
        <w:r>
          <w:rPr>
            <w:rStyle w:val="Hyperlink"/>
          </w:rPr>
          <w:t xml:space="preserve"> </w:t>
        </w:r>
        <w:r>
          <w:rPr>
            <w:rStyle w:val="VerbatimChar"/>
          </w:rPr>
          <w:t xml:space="preserve">SPEC.md</w:t>
        </w:r>
      </w:hyperlink>
      <w:r>
        <w:t xml:space="preserve">: Symphony as a draft issue-tracker-driven orchestration specification with per-issue workspaces and agent sessions. Scope: Symphony only; not an enterprise control plane or canonical owner-truth system.</w:t>
      </w:r>
    </w:p>
    <w:p>
      <w:pPr>
        <w:numPr>
          <w:ilvl w:val="0"/>
          <w:numId w:val="1018"/>
        </w:numPr>
      </w:pPr>
      <w:hyperlink r:id="rId102">
        <w:r>
          <w:rPr>
            <w:rStyle w:val="Hyperlink"/>
          </w:rPr>
          <w:t xml:space="preserve">Zhao et al.,</w:t>
        </w:r>
        <w:r>
          <w:rPr>
            <w:rStyle w:val="Hyperlink"/>
          </w:rPr>
          <w:t xml:space="preserve"> </w:t>
        </w:r>
        <w:r>
          <w:rPr>
            <w:rStyle w:val="Hyperlink"/>
          </w:rPr>
          <w:t xml:space="preserve">“</w:t>
        </w:r>
        <w:r>
          <w:rPr>
            <w:rStyle w:val="Hyperlink"/>
          </w:rPr>
          <w:t xml:space="preserve">ScienceFlow: A long-horizon agent for ML research, scientific discovery and beyond</w:t>
        </w:r>
        <w:r>
          <w:rPr>
            <w:rStyle w:val="Hyperlink"/>
          </w:rPr>
          <w:t xml:space="preserve">”</w:t>
        </w:r>
        <w:r>
          <w:rPr>
            <w:rStyle w:val="Hyperlink"/>
          </w:rPr>
          <w:t xml:space="preserve"> </w:t>
        </w:r>
        <w:r>
          <w:rPr>
            <w:rStyle w:val="Hyperlink"/>
          </w:rPr>
          <w:t xml:space="preserve">(2026-08-14)</w:t>
        </w:r>
      </w:hyperlink>
      <w:r>
        <w:t xml:space="preserve"> </w:t>
      </w:r>
      <w:r>
        <w:t xml:space="preserve">and</w:t>
      </w:r>
      <w:r>
        <w:t xml:space="preserve"> </w:t>
      </w:r>
      <w:hyperlink r:id="rId103">
        <w:r>
          <w:rPr>
            <w:rStyle w:val="Hyperlink"/>
          </w:rPr>
          <w:t xml:space="preserve">ScienceFlow §2.3.1</w:t>
        </w:r>
      </w:hyperlink>
      <w:r>
        <w:t xml:space="preserve">: recoverable executable workspaces and the paper’s workspace, memory, evidence, and resources state tuple. Scope: ScienceFlow’s research protocol; not a universal enterprise state model.</w:t>
      </w:r>
    </w:p>
    <w:p>
      <w:pPr>
        <w:numPr>
          <w:ilvl w:val="0"/>
          <w:numId w:val="1018"/>
        </w:numPr>
      </w:pPr>
      <w:hyperlink r:id="rId104">
        <w:r>
          <w:rPr>
            <w:rStyle w:val="Hyperlink"/>
          </w:rPr>
          <w:t xml:space="preserve">LangGraph Graph API</w:t>
        </w:r>
      </w:hyperlink>
      <w:r>
        <w:t xml:space="preserve"> </w:t>
      </w:r>
      <w:r>
        <w:t xml:space="preserve">and</w:t>
      </w:r>
      <w:r>
        <w:t xml:space="preserve"> </w:t>
      </w:r>
      <w:hyperlink r:id="rId105">
        <w:r>
          <w:rPr>
            <w:rStyle w:val="Hyperlink"/>
          </w:rPr>
          <w:t xml:space="preserve">time-travel documentation</w:t>
        </w:r>
      </w:hyperlink>
      <w:r>
        <w:t xml:space="preserve">: typed state schemas, reducers, persistence, checkpoint replay, and fork. Scope: documented framework capabilities; no market-standard claim.</w:t>
      </w:r>
    </w:p>
    <w:p>
      <w:pPr>
        <w:numPr>
          <w:ilvl w:val="0"/>
          <w:numId w:val="1018"/>
        </w:numPr>
      </w:pPr>
      <w:hyperlink r:id="rId106">
        <w:r>
          <w:rPr>
            <w:rStyle w:val="Hyperlink"/>
          </w:rPr>
          <w:t xml:space="preserve">Microsoft Agent Framework workflow concepts</w:t>
        </w:r>
      </w:hyperlink>
      <w:r>
        <w:t xml:space="preserve"> </w:t>
      </w:r>
      <w:r>
        <w:t xml:space="preserve">and</w:t>
      </w:r>
      <w:r>
        <w:t xml:space="preserve"> </w:t>
      </w:r>
      <w:hyperlink r:id="rId107">
        <w:r>
          <w:rPr>
            <w:rStyle w:val="Hyperlink"/>
          </w:rPr>
          <w:t xml:space="preserve">checkpoints</w:t>
        </w:r>
      </w:hyperlink>
      <w:r>
        <w:t xml:space="preserve">: typed graph workflows and checkpoint resumption/replay. Scope: framework features; application-specific validation remains necessary.</w:t>
      </w:r>
    </w:p>
    <w:p>
      <w:pPr>
        <w:numPr>
          <w:ilvl w:val="0"/>
          <w:numId w:val="1018"/>
        </w:numPr>
      </w:pPr>
      <w:hyperlink r:id="rId108">
        <w:r>
          <w:rPr>
            <w:rStyle w:val="Hyperlink"/>
          </w:rPr>
          <w:t xml:space="preserve">OpenAI Agents SDK multi-agent orchestration documentation</w:t>
        </w:r>
      </w:hyperlink>
      <w:r>
        <w:t xml:space="preserve">: agents, tools, handoffs, guardrails, sessions, and tracing. Scope: SDK primitives; not an issue-tracker scheduler or enterprise control plane.</w:t>
      </w:r>
    </w:p>
    <w:p>
      <w:pPr>
        <w:numPr>
          <w:ilvl w:val="0"/>
          <w:numId w:val="1018"/>
        </w:numPr>
      </w:pPr>
      <w:hyperlink r:id="rId109">
        <w:r>
          <w:rPr>
            <w:rStyle w:val="Hyperlink"/>
          </w:rPr>
          <w:t xml:space="preserve">Google ADK repository</w:t>
        </w:r>
      </w:hyperlink>
      <w:r>
        <w:t xml:space="preserve">: graph workflows, routing, retries, state, human-in-the-loop controls, MCP support, and Google deployment integrations. Scope: documented toolkit features; not a defining central-artifact-store architecture.</w:t>
      </w:r>
    </w:p>
    <w:p>
      <w:r>
        <w:pict>
          <v:rect style="width:0;height:1.5pt" o:hralign="center" o:hrstd="t" o:hr="t"/>
        </w:pict>
      </w:r>
    </w:p>
    <w:bookmarkEnd w:id="110"/>
    <w:bookmarkEnd w:id="111"/>
    <w:bookmarkStart w:id="112" w:name="X4ddb89909a76865304bd3935374f331eac45f6c"/>
    <w:p>
      <w:pPr>
        <w:pStyle w:val="Heading1"/>
      </w:pPr>
      <w:r>
        <w:t xml:space="preserve">Part III — Lifecycle and Portfolio Judgment</w:t>
      </w:r>
    </w:p>
    <w:bookmarkEnd w:id="112"/>
    <w:bookmarkStart w:id="122" w:name="chapter-7-change-pause-and-retire"/>
    <w:p>
      <w:pPr>
        <w:pStyle w:val="Heading1"/>
      </w:pPr>
      <w:r>
        <w:t xml:space="preserve">Chapter 7 — Change, Pause, and Retire</w:t>
      </w:r>
    </w:p>
    <w:p>
      <w:pPr>
        <w:pStyle w:val="FirstParagraph"/>
      </w:pPr>
      <w:r>
        <w:t xml:space="preserve">A digital worker can be useful and still be the wrong thing to run today.</w:t>
      </w:r>
    </w:p>
    <w:p>
      <w:pPr>
        <w:pStyle w:val="BodyText"/>
      </w:pPr>
      <w:r>
        <w:t xml:space="preserve">That is not a paradox. It is what happens when an organization treats every change as a health problem. A worker may be technically healthy but no longer needed. It may still be needed, but at a cadence that wastes attention and compute. Its responsibility may remain valuable while a particular capability has been replaced. A project may be finished while its evidence and reusable assets remain worth preserving. And a worker may be broken in a way that calls for repair, not retirement.</w:t>
      </w:r>
    </w:p>
    <w:p>
      <w:pPr>
        <w:pStyle w:val="BodyText"/>
      </w:pPr>
      <w:r>
        <w:t xml:space="preserve">“</w:t>
      </w:r>
      <w:r>
        <w:t xml:space="preserve">Active</w:t>
      </w:r>
      <w:r>
        <w:t xml:space="preserve">”</w:t>
      </w:r>
      <w:r>
        <w:t xml:space="preserve"> </w:t>
      </w:r>
      <w:r>
        <w:t xml:space="preserve">and</w:t>
      </w:r>
      <w:r>
        <w:t xml:space="preserve"> </w:t>
      </w:r>
      <w:r>
        <w:t xml:space="preserve">“</w:t>
      </w:r>
      <w:r>
        <w:t xml:space="preserve">inactive</w:t>
      </w:r>
      <w:r>
        <w:t xml:space="preserve">”</w:t>
      </w:r>
      <w:r>
        <w:t xml:space="preserve"> </w:t>
      </w:r>
      <w:r>
        <w:t xml:space="preserve">cannot carry all of that meaning without becoming misleading.</w:t>
      </w:r>
    </w:p>
    <w:p>
      <w:pPr>
        <w:pStyle w:val="BodyText"/>
      </w:pPr>
      <w:r>
        <w:t xml:space="preserve">The sponsor’s question is not simply whether the worker is healthy. It is:</w:t>
      </w:r>
    </w:p>
    <w:p>
      <w:pPr>
        <w:pStyle w:val="BlockText"/>
      </w:pPr>
      <w:r>
        <w:t xml:space="preserve">Should this named digital worker continue to own this ongoing responsibility now—and if not, what changes, who authorizes it, what evidence must be preserved, and what must stop?</w:t>
      </w:r>
    </w:p>
    <w:p>
      <w:pPr>
        <w:pStyle w:val="FirstParagraph"/>
      </w:pPr>
      <w:r>
        <w:t xml:space="preserve">That question is part of commissioning, not cleanup after commissioning. If the enterprise cannot say how a worker changes, pauses, or ends, then it has not actually defined the responsibility it is asking the worker to carry.</w:t>
      </w:r>
    </w:p>
    <w:p>
      <w:pPr>
        <w:pStyle w:val="BodyText"/>
      </w:pPr>
      <w:r>
        <w:t xml:space="preserve">A pause can stop execution without declaring failure. Retirement can end an expectation without deleting the evidence or identity. Supersession may replace a responsibility without erasing identity, and constraint may preserve useful work without declaring the worker successful or unsuccessful.</w:t>
      </w:r>
    </w:p>
    <w:p>
      <w:pPr>
        <w:pStyle w:val="BodyText"/>
      </w:pPr>
      <w:r>
        <w:t xml:space="preserve">The distinctions matter because they preserve human accountability. Someone has to decide whether the responsibility is still needed, whether the evidence still supports continuation, whether authority should narrow, whether execution should stop, and whether a replacement actually owns the work now. The model can produce evidence, identify a condition, or execute an authorized change. It does not make the organizational disposition by itself.</w:t>
      </w:r>
    </w:p>
    <w:bookmarkStart w:id="113" w:name="X8d2f939a5d94287a9a572e9653d9c5a83f012d7"/>
    <w:p>
      <w:pPr>
        <w:pStyle w:val="Heading2"/>
      </w:pPr>
      <w:r>
        <w:t xml:space="preserve">Pause: stop execution while preserving the decision</w:t>
      </w:r>
    </w:p>
    <w:p>
      <w:pPr>
        <w:pStyle w:val="FirstParagraph"/>
      </w:pPr>
      <w:r>
        <w:t xml:space="preserve">Pause is a reversible operating posture. It says: do not execute this work now, but do not pretend the worker, its history, or its responsibility has ceased to exist.</w:t>
      </w:r>
    </w:p>
    <w:p>
      <w:pPr>
        <w:pStyle w:val="BodyText"/>
      </w:pPr>
      <w:r>
        <w:t xml:space="preserve">That is useful when the evidence is incomplete, the need has changed temporarily, a repair is pending, an owner must decide, or the work should wait for a better operating condition. It is also useful when the organization needs to stop a recurring process without erasing the context required to judge whether it should resume.</w:t>
      </w:r>
    </w:p>
    <w:p>
      <w:pPr>
        <w:pStyle w:val="BodyText"/>
      </w:pPr>
      <w:r>
        <w:t xml:space="preserve">In my estate, Career Advisor was treated this way. Its code and SQLite data were preserved, while its runtime was marked optional because it was not needed for current operations. The change corrected a misleading operational signal: a stopped optional service had been treated as though it were a failed required service. The decision did not delete the project or retire an identity. It changed the expectation of execution.</w:t>
      </w:r>
    </w:p>
    <w:p>
      <w:pPr>
        <w:pStyle w:val="BodyText"/>
      </w:pPr>
      <w:r>
        <w:t xml:space="preserve">That sounds modest. It is not. The distinction prevents an operations dashboard from manufacturing urgency. A service that is intentionally not expected to run should not generate the same response as a required service that has failed unexpectedly.</w:t>
      </w:r>
    </w:p>
    <w:p>
      <w:pPr>
        <w:pStyle w:val="BodyText"/>
      </w:pPr>
      <w:r>
        <w:t xml:space="preserve">The same discipline applies to a named digital worker. Before calling something unhealthy, ask whether the organization expects it to be active. Before calling it inactive, ask whether it has been deliberately paused, parked, retired, or merely left in an ambiguous state.</w:t>
      </w:r>
    </w:p>
    <w:p>
      <w:pPr>
        <w:pStyle w:val="BodyText"/>
      </w:pPr>
      <w:r>
        <w:t xml:space="preserve">A pause should answer at least four questions:</w:t>
      </w:r>
    </w:p>
    <w:p>
      <w:pPr>
        <w:pStyle w:val="Compact"/>
        <w:numPr>
          <w:ilvl w:val="0"/>
          <w:numId w:val="1019"/>
        </w:numPr>
      </w:pPr>
      <w:r>
        <w:t xml:space="preserve">What is being paused: identity, responsibility, execution, or only a schedule?</w:t>
      </w:r>
    </w:p>
    <w:p>
      <w:pPr>
        <w:pStyle w:val="Compact"/>
        <w:numPr>
          <w:ilvl w:val="0"/>
          <w:numId w:val="1019"/>
        </w:numPr>
      </w:pPr>
      <w:r>
        <w:t xml:space="preserve">Why is it paused, and who made that decision?</w:t>
      </w:r>
    </w:p>
    <w:p>
      <w:pPr>
        <w:pStyle w:val="Compact"/>
        <w:numPr>
          <w:ilvl w:val="0"/>
          <w:numId w:val="1019"/>
        </w:numPr>
      </w:pPr>
      <w:r>
        <w:t xml:space="preserve">What evidence and assets must remain available during the pause?</w:t>
      </w:r>
    </w:p>
    <w:p>
      <w:pPr>
        <w:pStyle w:val="Compact"/>
        <w:numPr>
          <w:ilvl w:val="0"/>
          <w:numId w:val="1019"/>
        </w:numPr>
      </w:pPr>
      <w:r>
        <w:t xml:space="preserve">What event or review would permit a new decision?</w:t>
      </w:r>
    </w:p>
    <w:p>
      <w:pPr>
        <w:pStyle w:val="FirstParagraph"/>
      </w:pPr>
      <w:r>
        <w:t xml:space="preserve">Without those answers,</w:t>
      </w:r>
      <w:r>
        <w:t xml:space="preserve"> </w:t>
      </w:r>
      <w:r>
        <w:t xml:space="preserve">“</w:t>
      </w:r>
      <w:r>
        <w:t xml:space="preserve">pause</w:t>
      </w:r>
      <w:r>
        <w:t xml:space="preserve">”</w:t>
      </w:r>
      <w:r>
        <w:t xml:space="preserve"> </w:t>
      </w:r>
      <w:r>
        <w:t xml:space="preserve">can become a polite label for abandonment. The work stops, but nobody knows whether it should restart, who is responsible for deciding, or whether an old authority grant is still live somewhere else.</w:t>
      </w:r>
    </w:p>
    <w:p>
      <w:pPr>
        <w:pStyle w:val="BodyText"/>
      </w:pPr>
      <w:r>
        <w:t xml:space="preserve">That is why a pause needs an execution boundary. If the organization has decided that work should not run, then normal admission paths should not casually restart it. A generic resume action is not a substitute for a new operating decision.</w:t>
      </w:r>
    </w:p>
    <w:p>
      <w:pPr>
        <w:pStyle w:val="BodyText"/>
      </w:pPr>
      <w:r>
        <w:t xml:space="preserve">The sponsor must insist on a simple consequence: a paused disposition must mean something in practice. If scheduled or direct work can continue as though nothing changed, the pause is theater.</w:t>
      </w:r>
    </w:p>
    <w:bookmarkEnd w:id="113"/>
    <w:bookmarkStart w:id="114" w:name="Xee69034556cb405f992b090d497e0941ae72b39"/>
    <w:p>
      <w:pPr>
        <w:pStyle w:val="Heading2"/>
      </w:pPr>
      <w:r>
        <w:t xml:space="preserve">Park: preserve value without claiming current priority</w:t>
      </w:r>
    </w:p>
    <w:p>
      <w:pPr>
        <w:pStyle w:val="FirstParagraph"/>
      </w:pPr>
      <w:r>
        <w:t xml:space="preserve">Parking is different from pausing because it concerns portfolio intent.</w:t>
      </w:r>
    </w:p>
    <w:p>
      <w:pPr>
        <w:pStyle w:val="BodyText"/>
      </w:pPr>
      <w:r>
        <w:t xml:space="preserve">A paused worker may be awaiting repair or a near-term decision. A parked responsibility is preserved but not current work. It may be revisited later; it may never be. The organization is being honest that it has chosen not to spend present attention on it.</w:t>
      </w:r>
    </w:p>
    <w:p>
      <w:pPr>
        <w:pStyle w:val="BodyText"/>
      </w:pPr>
      <w:r>
        <w:t xml:space="preserve">This matters because many AI projects acquire an undeserved afterlife. A repository remains. A demo still runs. Someone remembers that the capability was impressive. The project is neither actively owned nor explicitly ended. It becomes a quiet obligation for whoever discovers it next.</w:t>
      </w:r>
    </w:p>
    <w:p>
      <w:pPr>
        <w:pStyle w:val="BodyText"/>
      </w:pPr>
      <w:r>
        <w:t xml:space="preserve">Parking gives that ambiguity a name without inventing momentum.</w:t>
      </w:r>
    </w:p>
    <w:p>
      <w:pPr>
        <w:pStyle w:val="BodyText"/>
      </w:pPr>
      <w:r>
        <w:t xml:space="preserve">The Visual Communication &amp; Architecture Illustrator offers a bounded example. It first existed as a proposed, parked specialist with a charter but no autonomous background loop. The important fact was not that the role had a persuasive description. It was that it had not yet been commissioned for operating work.</w:t>
      </w:r>
    </w:p>
    <w:p>
      <w:pPr>
        <w:pStyle w:val="BodyText"/>
      </w:pPr>
      <w:r>
        <w:t xml:space="preserve">Later, after governed commissioning work, it moved into an active on-demand specialist role. That did not mean it became a general-purpose background service or climbed an autonomy ladder. Its operating mode remained deliberately constrained: available for a defined kind of work when called upon.</w:t>
      </w:r>
    </w:p>
    <w:p>
      <w:pPr>
        <w:pStyle w:val="BodyText"/>
      </w:pPr>
      <w:r>
        <w:t xml:space="preserve">The distinction protects both sides of the decision. A parked proposal is not a failure because it has not been launched. An on-demand specialist is not incomplete because it is not scheduled to run continuously. The right posture follows the responsibility, evidence, and authority—not an imagined progression toward more automation.</w:t>
      </w:r>
    </w:p>
    <w:p>
      <w:pPr>
        <w:pStyle w:val="BodyText"/>
      </w:pPr>
      <w:r>
        <w:t xml:space="preserve">Parking also helps a sponsor resist false portfolio metrics. A parked worker should not count as active capacity. Nor should it be treated as a dead loss merely because it is not consuming resources today. It may retain useful evidence, designs, code, or a future option. The decision is whether preserving that option is worth the modest cost of retaining it, not whether every prior investment must remain operational.</w:t>
      </w:r>
    </w:p>
    <w:p>
      <w:pPr>
        <w:pStyle w:val="BodyText"/>
      </w:pPr>
      <w:r>
        <w:t xml:space="preserve">That is a judgment about responsible ownership. It is not a growth-allocation decision. Whether the enterprise should reinvest capacity in a new market, customer outcome, or workforce program belongs elsewhere. Here the narrower question is whether this worker should carry this responsibility now.</w:t>
      </w:r>
    </w:p>
    <w:bookmarkEnd w:id="114"/>
    <w:bookmarkStart w:id="115" w:name="constrain-before-you-declare-defeat"/>
    <w:p>
      <w:pPr>
        <w:pStyle w:val="Heading2"/>
      </w:pPr>
      <w:r>
        <w:t xml:space="preserve">Constrain before you declare defeat</w:t>
      </w:r>
    </w:p>
    <w:p>
      <w:pPr>
        <w:pStyle w:val="FirstParagraph"/>
      </w:pPr>
      <w:r>
        <w:t xml:space="preserve">Not every negative signal requires a pause or retirement. Sometimes the responsibility remains legitimate but the operating contract is too broad.</w:t>
      </w:r>
    </w:p>
    <w:p>
      <w:pPr>
        <w:pStyle w:val="BodyText"/>
      </w:pPr>
      <w:r>
        <w:t xml:space="preserve">A sponsor can constrain a worker by narrowing its scope, authority, cadence, handoff conditions, or allowed execution mode. The worker may continue to produce a useful outcome, but under a smaller charter while the organization gathers evidence or repairs a weakness.</w:t>
      </w:r>
    </w:p>
    <w:p>
      <w:pPr>
        <w:pStyle w:val="BodyText"/>
      </w:pPr>
      <w:r>
        <w:t xml:space="preserve">This is particularly important when a worker is useful but creates disproportionate intervention burden. A system that needs routine human attention may still be worth using, but perhaps only in supervised mode. A worker that produces accurate analysis but should not trigger downstream actions may remain a recommender rather than an executor. A recurring job that has value only when inputs change may need change-aware review rather than fixed-interval polling.</w:t>
      </w:r>
    </w:p>
    <w:p>
      <w:pPr>
        <w:pStyle w:val="BodyText"/>
      </w:pPr>
      <w:r>
        <w:t xml:space="preserve">Constraint is not an evasion of the decision. It is a decision with a visible boundary. The owner is saying: this responsibility remains valuable, but the current authority or operating mode does not.</w:t>
      </w:r>
    </w:p>
    <w:p>
      <w:pPr>
        <w:pStyle w:val="BodyText"/>
      </w:pPr>
      <w:r>
        <w:t xml:space="preserve">The Documentation Steward case makes the point without requiring an implementation tutorial. The worker had been commissioned for hourly autonomous documentation work. Later, the hourly cron was paused while the organization substituted a one-time supervised documentation batch. The record also left the post-batch mode unresolved rather than pretending that the old cadence was automatically correct.</w:t>
      </w:r>
    </w:p>
    <w:p>
      <w:pPr>
        <w:pStyle w:val="BodyText"/>
      </w:pPr>
      <w:r>
        <w:t xml:space="preserve">That is the honest move. A cadence that was once authorized can become wrong when the nature of the work changes. If the relevant condition is changed reality rather than elapsed time, then an hourly schedule may be an expensive habit rather than a useful operating policy.</w:t>
      </w:r>
    </w:p>
    <w:p>
      <w:pPr>
        <w:pStyle w:val="BodyText"/>
      </w:pPr>
      <w:r>
        <w:t xml:space="preserve">The sponsor should ask:</w:t>
      </w:r>
    </w:p>
    <w:p>
      <w:pPr>
        <w:pStyle w:val="Compact"/>
        <w:numPr>
          <w:ilvl w:val="0"/>
          <w:numId w:val="1020"/>
        </w:numPr>
      </w:pPr>
      <w:r>
        <w:t xml:space="preserve">Is this worker failing to maintain its responsibility, or is the cadence wrong?</w:t>
      </w:r>
    </w:p>
    <w:p>
      <w:pPr>
        <w:pStyle w:val="Compact"/>
        <w:numPr>
          <w:ilvl w:val="0"/>
          <w:numId w:val="1020"/>
        </w:numPr>
      </w:pPr>
      <w:r>
        <w:t xml:space="preserve">Is the authority too broad for the evidence now available?</w:t>
      </w:r>
    </w:p>
    <w:p>
      <w:pPr>
        <w:pStyle w:val="Compact"/>
        <w:numPr>
          <w:ilvl w:val="0"/>
          <w:numId w:val="1020"/>
        </w:numPr>
      </w:pPr>
      <w:r>
        <w:t xml:space="preserve">Is the work still valuable but better performed under supervision?</w:t>
      </w:r>
    </w:p>
    <w:p>
      <w:pPr>
        <w:pStyle w:val="Compact"/>
        <w:numPr>
          <w:ilvl w:val="0"/>
          <w:numId w:val="1020"/>
        </w:numPr>
      </w:pPr>
      <w:r>
        <w:t xml:space="preserve">Is the system detecting meaningful changes, or simply waking up because the clock did?</w:t>
      </w:r>
    </w:p>
    <w:p>
      <w:pPr>
        <w:pStyle w:val="Compact"/>
        <w:numPr>
          <w:ilvl w:val="0"/>
          <w:numId w:val="1020"/>
        </w:numPr>
      </w:pPr>
      <w:r>
        <w:t xml:space="preserve">What evidence would justify returning to a broader operating mode?</w:t>
      </w:r>
    </w:p>
    <w:p>
      <w:pPr>
        <w:pStyle w:val="FirstParagraph"/>
      </w:pPr>
      <w:r>
        <w:t xml:space="preserve">Those questions keep the organization from turning every operational adjustment into a verdict on model capability. The useful unit of judgment is the worker carrying a responsibility under a particular contract, not the model in isolation.</w:t>
      </w:r>
    </w:p>
    <w:bookmarkEnd w:id="115"/>
    <w:bookmarkStart w:id="116" w:name="X30927b053f1d88763d8e58d4e6cb9394650e6d4"/>
    <w:p>
      <w:pPr>
        <w:pStyle w:val="Heading2"/>
      </w:pPr>
      <w:r>
        <w:t xml:space="preserve">Redesign when the responsibility is wrong</w:t>
      </w:r>
    </w:p>
    <w:p>
      <w:pPr>
        <w:pStyle w:val="FirstParagraph"/>
      </w:pPr>
      <w:r>
        <w:t xml:space="preserve">A broken run and a broken commission are not the same thing.</w:t>
      </w:r>
    </w:p>
    <w:p>
      <w:pPr>
        <w:pStyle w:val="BodyText"/>
      </w:pPr>
      <w:r>
        <w:t xml:space="preserve">If a worker fails because of a repairable defect, the appropriate response may be remediation. If it repeatedly requires exceptions because the responsibility, owner, authority boundary, or evidence requirement is ill-formed, the problem may be the commission itself. Continuing to patch the runtime can conceal that larger error.</w:t>
      </w:r>
    </w:p>
    <w:p>
      <w:pPr>
        <w:pStyle w:val="BodyText"/>
      </w:pPr>
      <w:r>
        <w:t xml:space="preserve">The Visual Illustrator case crossed this line. The worker was commissioned, then subject to a specific remediation effort. When the remediation was accepted, its delivery suspension was lifted and it returned to the defined on-demand specialist mode. The record did not treat the remediation as a universal proof of readiness, and it did not grant new publication, external-delivery, or client-facing authority. Consequential delivery remained separately authorized.</w:t>
      </w:r>
    </w:p>
    <w:p>
      <w:pPr>
        <w:pStyle w:val="BodyText"/>
      </w:pPr>
      <w:r>
        <w:t xml:space="preserve">That is a useful pattern for sponsors: fix the actual defect, restore only the authority that the evidence supports, and preserve the ceiling in the same decision. A repair can justify a return to a bounded role. It does not automatically justify a broader one.</w:t>
      </w:r>
    </w:p>
    <w:p>
      <w:pPr>
        <w:pStyle w:val="BodyText"/>
      </w:pPr>
      <w:r>
        <w:t xml:space="preserve">Redesign is appropriate when the recurring responsibility should be changed. Perhaps the worker should no longer author content but should maintain approved content. Perhaps it should no longer initiate work but should prepare evidence for an owner. Perhaps one broad role should become two bounded roles with separate authority and review paths.</w:t>
      </w:r>
    </w:p>
    <w:p>
      <w:pPr>
        <w:pStyle w:val="BodyText"/>
      </w:pPr>
      <w:r>
        <w:t xml:space="preserve">The sponsor’s test is not whether the system can be repaired. It is whether the organization would commission the same responsibility again, with the same owner, authority, evidence bar, and stop path, knowing what it knows now.</w:t>
      </w:r>
    </w:p>
    <w:p>
      <w:pPr>
        <w:pStyle w:val="BodyText"/>
      </w:pPr>
      <w:r>
        <w:t xml:space="preserve">If the answer is no, the work needs redesign even if the latest run passed.</w:t>
      </w:r>
    </w:p>
    <w:bookmarkEnd w:id="116"/>
    <w:bookmarkStart w:id="117" w:name="X767a93f5207a6250127140a55334edadb24ccf2"/>
    <w:p>
      <w:pPr>
        <w:pStyle w:val="Heading2"/>
      </w:pPr>
      <w:r>
        <w:t xml:space="preserve">Retire the responsibility without deleting the evidence</w:t>
      </w:r>
    </w:p>
    <w:p>
      <w:pPr>
        <w:pStyle w:val="FirstParagraph"/>
      </w:pPr>
      <w:r>
        <w:t xml:space="preserve">Retirement is a durable portfolio decision. It says that this responsibility or project should no longer resume through ordinary operating paths.</w:t>
      </w:r>
    </w:p>
    <w:p>
      <w:pPr>
        <w:pStyle w:val="BodyText"/>
      </w:pPr>
      <w:r>
        <w:t xml:space="preserve">That is not deletion.</w:t>
      </w:r>
    </w:p>
    <w:p>
      <w:pPr>
        <w:pStyle w:val="BodyText"/>
      </w:pPr>
      <w:r>
        <w:t xml:space="preserve">In my estate, Telecom Dashboard was retired from active operational attention while its contest-finalist code and artifacts were preserved. The decision recognized that the project had no current scheduler, mission, or service binding, while retaining the evidence and work product that explained what had been built.</w:t>
      </w:r>
    </w:p>
    <w:p>
      <w:pPr>
        <w:pStyle w:val="BodyText"/>
      </w:pPr>
      <w:r>
        <w:t xml:space="preserve">This is the more responsible form of retirement. It ends the expectation of continued execution without rewriting history. The repository, artifacts, decisions, and lessons may still matter to future work, audit, reuse, or an honest account of why the project ended.</w:t>
      </w:r>
    </w:p>
    <w:p>
      <w:pPr>
        <w:pStyle w:val="BodyText"/>
      </w:pPr>
      <w:r>
        <w:t xml:space="preserve">Deletion may eventually be appropriate for legal, privacy, security, or records-management reasons. But that is a separate policy decision with its own authority and retention requirements. It should not be smuggled into lifecycle language.</w:t>
      </w:r>
      <w:r>
        <w:t xml:space="preserve"> </w:t>
      </w:r>
      <w:r>
        <w:t xml:space="preserve">“</w:t>
      </w:r>
      <w:r>
        <w:t xml:space="preserve">Retired</w:t>
      </w:r>
      <w:r>
        <w:t xml:space="preserve">”</w:t>
      </w:r>
      <w:r>
        <w:t xml:space="preserve"> </w:t>
      </w:r>
      <w:r>
        <w:t xml:space="preserve">should not quietly mean</w:t>
      </w:r>
      <w:r>
        <w:t xml:space="preserve"> </w:t>
      </w:r>
      <w:r>
        <w:t xml:space="preserve">“</w:t>
      </w:r>
      <w:r>
        <w:t xml:space="preserve">the evidence is gone.</w:t>
      </w:r>
      <w:r>
        <w:t xml:space="preserve">”</w:t>
      </w:r>
    </w:p>
    <w:p>
      <w:pPr>
        <w:pStyle w:val="BodyText"/>
      </w:pPr>
      <w:r>
        <w:t xml:space="preserve">The difference is especially important when the worker has run work that remains unresolved. A retirement decision should not silently kill active work, approve a waiting gate, or erase a run that might later need explanation. Before completing a durable retirement, the owner needs a credible account of what is active, what is waiting for human action, what is already closed, and what is unknown.</w:t>
      </w:r>
    </w:p>
    <w:p>
      <w:pPr>
        <w:pStyle w:val="BodyText"/>
      </w:pPr>
      <w:r>
        <w:t xml:space="preserve">If the organization cannot determine that safely, the right disposition may be an incomplete retirement or a pause pending reconciliation. That is less elegant than a clean dashboard transition. It is more truthful.</w:t>
      </w:r>
    </w:p>
    <w:p>
      <w:pPr>
        <w:pStyle w:val="BodyText"/>
      </w:pPr>
      <w:r>
        <w:t xml:space="preserve">A retirement record should make the decision inspectable:</w:t>
      </w:r>
    </w:p>
    <w:p>
      <w:pPr>
        <w:pStyle w:val="Compact"/>
        <w:numPr>
          <w:ilvl w:val="0"/>
          <w:numId w:val="1021"/>
        </w:numPr>
      </w:pPr>
      <w:r>
        <w:t xml:space="preserve">the responsibility or project being retired;</w:t>
      </w:r>
    </w:p>
    <w:p>
      <w:pPr>
        <w:pStyle w:val="Compact"/>
        <w:numPr>
          <w:ilvl w:val="0"/>
          <w:numId w:val="1021"/>
        </w:numPr>
      </w:pPr>
      <w:r>
        <w:t xml:space="preserve">the owner who authorized the decision;</w:t>
      </w:r>
    </w:p>
    <w:p>
      <w:pPr>
        <w:pStyle w:val="Compact"/>
        <w:numPr>
          <w:ilvl w:val="0"/>
          <w:numId w:val="1021"/>
        </w:numPr>
      </w:pPr>
      <w:r>
        <w:t xml:space="preserve">the reason and evidence;</w:t>
      </w:r>
    </w:p>
    <w:p>
      <w:pPr>
        <w:pStyle w:val="Compact"/>
        <w:numPr>
          <w:ilvl w:val="0"/>
          <w:numId w:val="1021"/>
        </w:numPr>
      </w:pPr>
      <w:r>
        <w:t xml:space="preserve">the execution consequence;</w:t>
      </w:r>
    </w:p>
    <w:p>
      <w:pPr>
        <w:pStyle w:val="Compact"/>
        <w:numPr>
          <w:ilvl w:val="0"/>
          <w:numId w:val="1021"/>
        </w:numPr>
      </w:pPr>
      <w:r>
        <w:t xml:space="preserve">any unresolved work and its assigned disposition;</w:t>
      </w:r>
    </w:p>
    <w:p>
      <w:pPr>
        <w:pStyle w:val="Compact"/>
        <w:numPr>
          <w:ilvl w:val="0"/>
          <w:numId w:val="1021"/>
        </w:numPr>
      </w:pPr>
      <w:r>
        <w:t xml:space="preserve">the assets and evidence preserved; and</w:t>
      </w:r>
    </w:p>
    <w:p>
      <w:pPr>
        <w:pStyle w:val="Compact"/>
        <w:numPr>
          <w:ilvl w:val="0"/>
          <w:numId w:val="1021"/>
        </w:numPr>
      </w:pPr>
      <w:r>
        <w:t xml:space="preserve">the condition under which a genuinely new commission would be required.</w:t>
      </w:r>
    </w:p>
    <w:p>
      <w:pPr>
        <w:pStyle w:val="FirstParagraph"/>
      </w:pPr>
      <w:r>
        <w:t xml:space="preserve">The last point matters. Retirement should not be a door that anyone can reopen by clicking resume. If the organization wants the work again, it should make a new accountable decision. For a terminally retired identity, that may require a new identity and commissioning lineage rather than a casual revival of the old one.</w:t>
      </w:r>
    </w:p>
    <w:bookmarkEnd w:id="117"/>
    <w:bookmarkStart w:id="118" w:name="Xba337d8c8f96f512cbef98cccb748fed54afe6d"/>
    <w:p>
      <w:pPr>
        <w:pStyle w:val="Heading2"/>
      </w:pPr>
      <w:r>
        <w:t xml:space="preserve">Supersede a capability without erasing an identity</w:t>
      </w:r>
    </w:p>
    <w:p>
      <w:pPr>
        <w:pStyle w:val="FirstParagraph"/>
      </w:pPr>
      <w:r>
        <w:t xml:space="preserve">Supersession means something more precise than</w:t>
      </w:r>
      <w:r>
        <w:t xml:space="preserve"> </w:t>
      </w:r>
      <w:r>
        <w:t xml:space="preserve">“</w:t>
      </w:r>
      <w:r>
        <w:t xml:space="preserve">we have something newer.</w:t>
      </w:r>
      <w:r>
        <w:t xml:space="preserve">”</w:t>
      </w:r>
    </w:p>
    <w:p>
      <w:pPr>
        <w:pStyle w:val="BodyText"/>
      </w:pPr>
      <w:r>
        <w:t xml:space="preserve">A responsibility, capability, or project is superseded when another named operating unit has taken over the relevant role. The replacement relation should be explicit. Otherwise, the organization cannot tell whether it has actually transferred ownership or merely accumulated overlapping systems.</w:t>
      </w:r>
    </w:p>
    <w:p>
      <w:pPr>
        <w:pStyle w:val="BodyText"/>
      </w:pPr>
      <w:r>
        <w:t xml:space="preserve">Employee Zero provides a useful bounded example. In the control-plane remediation plan, its user-facing briefing capability is superseded by Chief, while the Employee Zero identity, source ownership, evidence, and other responsibilities remain preserved. The worker is not erased simply because one capability no longer belongs with it.</w:t>
      </w:r>
    </w:p>
    <w:p>
      <w:pPr>
        <w:pStyle w:val="BodyText"/>
      </w:pPr>
      <w:r>
        <w:t xml:space="preserve">This is why supersession must name its scope.</w:t>
      </w:r>
    </w:p>
    <w:p>
      <w:pPr>
        <w:pStyle w:val="Compact"/>
        <w:numPr>
          <w:ilvl w:val="0"/>
          <w:numId w:val="1022"/>
        </w:numPr>
      </w:pPr>
      <w:r>
        <w:t xml:space="preserve">What exactly has been replaced?</w:t>
      </w:r>
    </w:p>
    <w:p>
      <w:pPr>
        <w:pStyle w:val="Compact"/>
        <w:numPr>
          <w:ilvl w:val="0"/>
          <w:numId w:val="1022"/>
        </w:numPr>
      </w:pPr>
      <w:r>
        <w:t xml:space="preserve">By whom?</w:t>
      </w:r>
    </w:p>
    <w:p>
      <w:pPr>
        <w:pStyle w:val="Compact"/>
        <w:numPr>
          <w:ilvl w:val="0"/>
          <w:numId w:val="1022"/>
        </w:numPr>
      </w:pPr>
      <w:r>
        <w:t xml:space="preserve">Has the receiving worker been commissioned to own that responsibility?</w:t>
      </w:r>
    </w:p>
    <w:p>
      <w:pPr>
        <w:pStyle w:val="Compact"/>
        <w:numPr>
          <w:ilvl w:val="0"/>
          <w:numId w:val="1022"/>
        </w:numPr>
      </w:pPr>
      <w:r>
        <w:t xml:space="preserve">Which assets, evidence, permissions, and historical records remain with the original worker?</w:t>
      </w:r>
    </w:p>
    <w:p>
      <w:pPr>
        <w:pStyle w:val="Compact"/>
        <w:numPr>
          <w:ilvl w:val="0"/>
          <w:numId w:val="1022"/>
        </w:numPr>
      </w:pPr>
      <w:r>
        <w:t xml:space="preserve">Is the original worker parked, constrained, or terminally retired in some other dimension?</w:t>
      </w:r>
    </w:p>
    <w:p>
      <w:pPr>
        <w:pStyle w:val="FirstParagraph"/>
      </w:pPr>
      <w:r>
        <w:t xml:space="preserve">Without that specificity,</w:t>
      </w:r>
      <w:r>
        <w:t xml:space="preserve"> </w:t>
      </w:r>
      <w:r>
        <w:t xml:space="preserve">“</w:t>
      </w:r>
      <w:r>
        <w:t xml:space="preserve">superseded</w:t>
      </w:r>
      <w:r>
        <w:t xml:space="preserve">”</w:t>
      </w:r>
      <w:r>
        <w:t xml:space="preserve"> </w:t>
      </w:r>
      <w:r>
        <w:t xml:space="preserve">becomes a vague synonym for obsolete. It can conceal a dangerous gap: the original worker has been stopped, but the purported replacement has never received a clear responsibility, evidence requirement, or authority boundary.</w:t>
      </w:r>
    </w:p>
    <w:p>
      <w:pPr>
        <w:pStyle w:val="BodyText"/>
      </w:pPr>
      <w:r>
        <w:t xml:space="preserve">Supersession is also not an excuse to overwrite the old story. A newer capability might become the preferred path while the earlier worker remains important to audit, maintain a distinct responsibility, or explain an earlier decision. The sponsor should preserve the lineage rather than flatten it into a before-and-after slide.</w:t>
      </w:r>
    </w:p>
    <w:bookmarkEnd w:id="118"/>
    <w:bookmarkStart w:id="119" w:name="X5ef6ecde6a0af2d1bd31680e5ff5811778ce694"/>
    <w:p>
      <w:pPr>
        <w:pStyle w:val="Heading2"/>
      </w:pPr>
      <w:r>
        <w:t xml:space="preserve">Preserve assets, but do not preserve false expectations</w:t>
      </w:r>
    </w:p>
    <w:p>
      <w:pPr>
        <w:pStyle w:val="FirstParagraph"/>
      </w:pPr>
      <w:r>
        <w:t xml:space="preserve">Preservation has two jobs.</w:t>
      </w:r>
    </w:p>
    <w:p>
      <w:pPr>
        <w:pStyle w:val="BodyText"/>
      </w:pPr>
      <w:r>
        <w:t xml:space="preserve">First, it preserves evidence: the decision record, relevant runs, artifacts, approvals, and lessons needed to understand what happened. Second, it preserves reusable assets when they still have a defined scope. Code, documentation, templates, test materials, or a synthetic accelerator may remain useful even when the original project no longer has active portfolio priority.</w:t>
      </w:r>
    </w:p>
    <w:p>
      <w:pPr>
        <w:pStyle w:val="BodyText"/>
      </w:pPr>
      <w:r>
        <w:t xml:space="preserve">Preservation does not mean everything remains runnable.</w:t>
      </w:r>
    </w:p>
    <w:p>
      <w:pPr>
        <w:pStyle w:val="BodyText"/>
      </w:pPr>
      <w:r>
        <w:t xml:space="preserve">A project can be parked or retired while its useful assets remain available for inspection or bounded reuse. A retired project can retain an artifact without retaining authority to execute. A paused worker can preserve identity and evidence without preserving a standing schedule. This is exactly why execution policy and asset preservation must remain separate.</w:t>
      </w:r>
    </w:p>
    <w:p>
      <w:pPr>
        <w:pStyle w:val="BodyText"/>
      </w:pPr>
      <w:r>
        <w:t xml:space="preserve">The opposite mistake is to preserve a false operational expectation. A stale service catalog, schedule, roster line, or dashboard status can turn a deliberate disposition into an apparent incident. A preserved asset is not proof of an active responsibility. A past commission is not proof of current authority.</w:t>
      </w:r>
    </w:p>
    <w:p>
      <w:pPr>
        <w:pStyle w:val="BodyText"/>
      </w:pPr>
      <w:r>
        <w:t xml:space="preserve">The sponsor’s responsibility is to make the present posture legible. A preserved asset is not proof of an active responsibility.</w:t>
      </w:r>
    </w:p>
    <w:bookmarkEnd w:id="119"/>
    <w:bookmarkStart w:id="120" w:name="X53dc8f969a94532f39386d6122a9dd2010fcf49"/>
    <w:p>
      <w:pPr>
        <w:pStyle w:val="Heading2"/>
      </w:pPr>
      <w:r>
        <w:t xml:space="preserve">The lifecycle review is a decision, not a ceremony</w:t>
      </w:r>
    </w:p>
    <w:p>
      <w:pPr>
        <w:pStyle w:val="FirstParagraph"/>
      </w:pPr>
      <w:r>
        <w:t xml:space="preserve">When conditions change, the sponsor does not need a grand maturity model. The sponsor needs a disciplined review of one worker and one responsibility.</w:t>
      </w:r>
    </w:p>
    <w:p>
      <w:pPr>
        <w:pStyle w:val="BodyText"/>
      </w:pPr>
      <w:r>
        <w:t xml:space="preserve">A useful review asks:</w:t>
      </w:r>
    </w:p>
    <w:p>
      <w:pPr>
        <w:pStyle w:val="Compact"/>
        <w:numPr>
          <w:ilvl w:val="0"/>
          <w:numId w:val="1023"/>
        </w:numPr>
      </w:pPr>
      <w:r>
        <w:t xml:space="preserve">Is the ongoing responsibility still needed?</w:t>
      </w:r>
    </w:p>
    <w:p>
      <w:pPr>
        <w:pStyle w:val="Compact"/>
        <w:numPr>
          <w:ilvl w:val="0"/>
          <w:numId w:val="1023"/>
        </w:numPr>
      </w:pPr>
      <w:r>
        <w:t xml:space="preserve">Does the worker still have a named owner and bounded authority?</w:t>
      </w:r>
    </w:p>
    <w:p>
      <w:pPr>
        <w:pStyle w:val="Compact"/>
        <w:numPr>
          <w:ilvl w:val="0"/>
          <w:numId w:val="1023"/>
        </w:numPr>
      </w:pPr>
      <w:r>
        <w:t xml:space="preserve">What does the current evidence show about outcome, authority fidelity, evidence integrity, handoffs, intervention burden, lifecycle fitness, and capacity?</w:t>
      </w:r>
    </w:p>
    <w:p>
      <w:pPr>
        <w:pStyle w:val="Compact"/>
        <w:numPr>
          <w:ilvl w:val="0"/>
          <w:numId w:val="1023"/>
        </w:numPr>
      </w:pPr>
      <w:r>
        <w:t xml:space="preserve">Is the issue in the identity, the responsibility, the execution policy, the runtime, or the portfolio?</w:t>
      </w:r>
    </w:p>
    <w:p>
      <w:pPr>
        <w:pStyle w:val="Compact"/>
        <w:numPr>
          <w:ilvl w:val="0"/>
          <w:numId w:val="1023"/>
        </w:numPr>
      </w:pPr>
      <w:r>
        <w:t xml:space="preserve">What should change now: continue, constrain, pause, redesign, retire, or supersede—and what evidence or assets must be preserved alongside that disposition?</w:t>
      </w:r>
    </w:p>
    <w:p>
      <w:pPr>
        <w:pStyle w:val="Compact"/>
        <w:numPr>
          <w:ilvl w:val="0"/>
          <w:numId w:val="1023"/>
        </w:numPr>
      </w:pPr>
      <w:r>
        <w:t xml:space="preserve">What has to stop, and what evidence or assets must remain?</w:t>
      </w:r>
    </w:p>
    <w:p>
      <w:pPr>
        <w:pStyle w:val="Compact"/>
        <w:numPr>
          <w:ilvl w:val="0"/>
          <w:numId w:val="1023"/>
        </w:numPr>
      </w:pPr>
      <w:r>
        <w:t xml:space="preserve">What would justify the next change?</w:t>
      </w:r>
    </w:p>
    <w:p>
      <w:pPr>
        <w:pStyle w:val="FirstParagraph"/>
      </w:pPr>
      <w:r>
        <w:t xml:space="preserve">The answer may be</w:t>
      </w:r>
      <w:r>
        <w:t xml:space="preserve"> </w:t>
      </w:r>
      <w:r>
        <w:t xml:space="preserve">“</w:t>
      </w:r>
      <w:r>
        <w:t xml:space="preserve">continue.</w:t>
      </w:r>
      <w:r>
        <w:t xml:space="preserve">”</w:t>
      </w:r>
      <w:r>
        <w:t xml:space="preserve"> </w:t>
      </w:r>
      <w:r>
        <w:t xml:space="preserve">But continuation should be a judgment, not the default outcome of a green operational status.</w:t>
      </w:r>
    </w:p>
    <w:p>
      <w:pPr>
        <w:pStyle w:val="BodyText"/>
      </w:pPr>
      <w:r>
        <w:t xml:space="preserve">The answer may also be</w:t>
      </w:r>
      <w:r>
        <w:t xml:space="preserve"> </w:t>
      </w:r>
      <w:r>
        <w:t xml:space="preserve">“</w:t>
      </w:r>
      <w:r>
        <w:t xml:space="preserve">do less.</w:t>
      </w:r>
      <w:r>
        <w:t xml:space="preserve">”</w:t>
      </w:r>
      <w:r>
        <w:t xml:space="preserve"> </w:t>
      </w:r>
      <w:r>
        <w:t xml:space="preserve">A narrower authority, on-demand cadence, supervised mode, or explicit park can be more accountable than a broad active label. The responsible organization is not the one with the fewest pauses. It is the one that can explain why a responsibility is active, why it is stopped, and what would change that decision.</w:t>
      </w:r>
    </w:p>
    <w:p>
      <w:pPr>
        <w:pStyle w:val="BodyText"/>
      </w:pPr>
      <w:r>
        <w:t xml:space="preserve">These cases illustrate that different operating decisions leave different evidence, have different consequences, and should not be collapsed into one status.</w:t>
      </w:r>
    </w:p>
    <w:p>
      <w:pPr>
        <w:pStyle w:val="BodyText"/>
      </w:pPr>
      <w:r>
        <w:t xml:space="preserve">That is the discipline a portfolio needs. Once the sponsor can distinguish a paused worker from a parked responsibility, a retired project from deleted evidence, and a superseded capability from an erased identity, the next question becomes manageable: how do those individual decisions become a coherent portfolio view without turning into a ladder?</w:t>
      </w:r>
    </w:p>
    <w:bookmarkEnd w:id="120"/>
    <w:bookmarkStart w:id="121" w:name="sources-and-evidence-notes-6"/>
    <w:p>
      <w:pPr>
        <w:pStyle w:val="Heading2"/>
      </w:pPr>
      <w:r>
        <w:t xml:space="preserve">Sources and evidence notes</w:t>
      </w:r>
    </w:p>
    <w:p>
      <w:pPr>
        <w:numPr>
          <w:ilvl w:val="0"/>
          <w:numId w:val="1024"/>
        </w:numPr>
      </w:pPr>
      <w:r>
        <w:rPr>
          <w:i/>
          <w:iCs/>
        </w:rPr>
        <w:t xml:space="preserve">The book’s internal planning repository</w:t>
      </w:r>
      <w:r>
        <w:t xml:space="preserve"> </w:t>
      </w:r>
      <w:r>
        <w:t xml:space="preserve">— Chapter 7’s required reader question, cases, exclusions, handoff, and 3,300–4,000-word target.</w:t>
      </w:r>
    </w:p>
    <w:p>
      <w:pPr>
        <w:numPr>
          <w:ilvl w:val="0"/>
          <w:numId w:val="1024"/>
        </w:numPr>
      </w:pPr>
      <w:r>
        <w:rPr>
          <w:i/>
          <w:iCs/>
        </w:rPr>
        <w:t xml:space="preserve">The book’s internal planning repository</w:t>
      </w:r>
      <w:r>
        <w:t xml:space="preserve"> </w:t>
      </w:r>
      <w:r>
        <w:t xml:space="preserve">— Required delivery: distinguish pause, park, retire, supersede, and preservation; excludes a one-status model and deletion-as-retirement.</w:t>
      </w:r>
    </w:p>
    <w:p>
      <w:pPr>
        <w:numPr>
          <w:ilvl w:val="0"/>
          <w:numId w:val="1024"/>
        </w:numPr>
      </w:pPr>
      <w:r>
        <w:rPr>
          <w:i/>
          <w:iCs/>
        </w:rPr>
        <w:t xml:space="preserve">The book’s internal planning repository</w:t>
      </w:r>
      <w:r>
        <w:t xml:space="preserve"> </w:t>
      </w:r>
      <w:r>
        <w:t xml:space="preserve">— Evidence-language, prose, sourcing, and output constraints for this draft.</w:t>
      </w:r>
    </w:p>
    <w:p>
      <w:pPr>
        <w:numPr>
          <w:ilvl w:val="0"/>
          <w:numId w:val="1024"/>
        </w:numPr>
      </w:pPr>
      <w:r>
        <w:rPr>
          <w:i/>
          <w:iCs/>
        </w:rPr>
        <w:t xml:space="preserve">The book’s internal planning repository</w:t>
      </w:r>
      <w:r>
        <w:t xml:space="preserve"> </w:t>
      </w:r>
      <w:r>
        <w:t xml:space="preserve">— Approved governing question, named-human accountability boundary, and three-book exclusions. Product hypothesis only; not external enterprise-outcome evidence.</w:t>
      </w:r>
    </w:p>
    <w:p>
      <w:pPr>
        <w:numPr>
          <w:ilvl w:val="0"/>
          <w:numId w:val="1024"/>
        </w:numPr>
      </w:pPr>
      <w:r>
        <w:rPr>
          <w:i/>
          <w:iCs/>
        </w:rPr>
        <w:t xml:space="preserve">The book’s internal planning repository</w:t>
      </w:r>
      <w:r>
        <w:t xml:space="preserve"> </w:t>
      </w:r>
      <w:r>
        <w:t xml:space="preserve">— Commissioning thesis and the requirement to treat lifecycle as an accountable operating decision. Proposed book model, not a universal rule.</w:t>
      </w:r>
    </w:p>
    <w:p>
      <w:pPr>
        <w:numPr>
          <w:ilvl w:val="0"/>
          <w:numId w:val="1024"/>
        </w:numPr>
      </w:pPr>
      <w:r>
        <w:rPr>
          <w:i/>
          <w:iCs/>
        </w:rPr>
        <w:t xml:space="preserve">The book’s internal pre-draft specifications</w:t>
      </w:r>
      <w:r>
        <w:t xml:space="preserve"> </w:t>
      </w:r>
      <w:r>
        <w:t xml:space="preserve">— The seven evidence dimensions and bounded disposition choices. A book operating hypothesis grounded in local cases; not an external standard.</w:t>
      </w:r>
    </w:p>
    <w:p>
      <w:pPr>
        <w:numPr>
          <w:ilvl w:val="0"/>
          <w:numId w:val="1024"/>
        </w:numPr>
      </w:pPr>
      <w:r>
        <w:rPr>
          <w:i/>
          <w:iCs/>
        </w:rPr>
        <w:t xml:space="preserve">The book’s internal pre-draft specifications</w:t>
      </w:r>
      <w:r>
        <w:t xml:space="preserve"> </w:t>
      </w:r>
      <w:r>
        <w:t xml:space="preserve">— Orthogonal-record proposal and rejection of a linear maturity ladder. Proposed structure, with owner-native truth retained.</w:t>
      </w:r>
    </w:p>
    <w:p>
      <w:pPr>
        <w:numPr>
          <w:ilvl w:val="0"/>
          <w:numId w:val="1024"/>
        </w:numPr>
      </w:pPr>
      <w:r>
        <w:rPr>
          <w:i/>
          <w:iCs/>
        </w:rPr>
        <w:t xml:space="preserve">The book’s internal research ledger</w:t>
      </w:r>
      <w:r>
        <w:t xml:space="preserve"> </w:t>
      </w:r>
      <w:r>
        <w:t xml:space="preserve">— C20, C24, and C25 support the bounded lifecycle, Visual Illustrator, and preservation/disposition material. Scope: Lee estate and a remediation proposal; owner implementation remains incomplete.</w:t>
      </w:r>
    </w:p>
    <w:p>
      <w:pPr>
        <w:numPr>
          <w:ilvl w:val="0"/>
          <w:numId w:val="1024"/>
        </w:numPr>
      </w:pPr>
      <w:r>
        <w:rPr>
          <w:i/>
          <w:iCs/>
        </w:rPr>
        <w:t xml:space="preserve">The book’s internal research ledger</w:t>
      </w:r>
      <w:r>
        <w:t xml:space="preserve"> </w:t>
      </w:r>
      <w:r>
        <w:t xml:space="preserve">— Lifecycle/stop-path, paused/parked posture, and portfolio-disposition scopes. External standards provide only broad lifecycle and risk framing; they do not define the book’s states.</w:t>
      </w:r>
    </w:p>
    <w:p>
      <w:pPr>
        <w:numPr>
          <w:ilvl w:val="0"/>
          <w:numId w:val="1024"/>
        </w:numPr>
      </w:pPr>
      <w:r>
        <w:rPr>
          <w:i/>
          <w:iCs/>
        </w:rPr>
        <w:t xml:space="preserve">The book’s internal research ledger</w:t>
      </w:r>
      <w:r>
        <w:t xml:space="preserve"> </w:t>
      </w:r>
      <w:r>
        <w:t xml:space="preserve">— Case boundaries for Visual Illustrator, Career Advisor, Telecom, Employee Zero, Documentation Steward, and control-plane remediation. All are bounded local cases, not enterprise-general results.</w:t>
      </w:r>
    </w:p>
    <w:p>
      <w:pPr>
        <w:numPr>
          <w:ilvl w:val="0"/>
          <w:numId w:val="1024"/>
        </w:numPr>
      </w:pPr>
      <w:r>
        <w:rPr>
          <w:i/>
          <w:iCs/>
        </w:rPr>
        <w:t xml:space="preserve">The book’s internal research ledger</w:t>
      </w:r>
      <w:r>
        <w:t xml:space="preserve"> </w:t>
      </w:r>
      <w:r>
        <w:t xml:space="preserve">— Supports reversible lifecycle choices and the rejection of a universal maturity ladder. Lifecycle choices remain a testable book hypothesis.</w:t>
      </w:r>
    </w:p>
    <w:p>
      <w:pPr>
        <w:numPr>
          <w:ilvl w:val="0"/>
          <w:numId w:val="1024"/>
        </w:numPr>
      </w:pPr>
      <w:r>
        <w:rPr>
          <w:i/>
          <w:iCs/>
        </w:rPr>
        <w:t xml:space="preserve">The book’s internal research ledger</w:t>
      </w:r>
      <w:r>
        <w:t xml:space="preserve"> </w:t>
      </w:r>
      <w:r>
        <w:t xml:space="preserve">— Confirms that the book’s synthesis combines bounded external primitives with local observations and does not prove enterprise-wide transfer.</w:t>
      </w:r>
    </w:p>
    <w:p>
      <w:pPr>
        <w:numPr>
          <w:ilvl w:val="0"/>
          <w:numId w:val="1024"/>
        </w:numPr>
      </w:pPr>
      <w:r>
        <w:rPr>
          <w:i/>
          <w:iCs/>
        </w:rPr>
        <w:t xml:space="preserve">The book’s internal research ledger</w:t>
      </w:r>
      <w:r>
        <w:t xml:space="preserve"> </w:t>
      </w:r>
      <w:r>
        <w:t xml:space="preserve">— Admits D67–D70, D73, and D74 for limited lifecycle, disposition, and changed-reality cadence use; these decisions do not establish a universal lifecycle model.</w:t>
      </w:r>
    </w:p>
    <w:p>
      <w:pPr>
        <w:numPr>
          <w:ilvl w:val="0"/>
          <w:numId w:val="1024"/>
        </w:numPr>
      </w:pPr>
      <w:r>
        <w:rPr>
          <w:i/>
          <w:iCs/>
        </w:rPr>
        <w:t xml:space="preserve">The author’s operating decision log</w:t>
      </w:r>
      <w:r>
        <w:t xml:space="preserve"> </w:t>
      </w:r>
      <w:r>
        <w:t xml:space="preserve">— D67 and D68: Visual Illustrator proposed/parked, then commissioned for an on-demand specialist role; D69: Career Advisor preserved and optional; D70: Telecom retired and Employee Zero parked; D71: Illustrator remediation and bounded restoration; D73: Documentation Steward’s hourly cadence paused for a supervised batch; D79: orthogonal lifecycle/disposition proposal. Scope: observed Lee-estate decisions and records.</w:t>
      </w:r>
    </w:p>
    <w:p>
      <w:pPr>
        <w:numPr>
          <w:ilvl w:val="0"/>
          <w:numId w:val="1024"/>
        </w:numPr>
      </w:pPr>
      <w:r>
        <w:rPr>
          <w:i/>
          <w:iCs/>
        </w:rPr>
        <w:t xml:space="preserve">The author’s internal estate documentation</w:t>
      </w:r>
      <w:r>
        <w:t xml:space="preserve"> </w:t>
      </w:r>
      <w:r>
        <w:t xml:space="preserve">— Detailed separation of identity lifecycle, portfolio disposition, execution policy, runtime truth, capacity, asset preservation, retirement, and reactivation. Scope: proposed remediation contract; owner-repository adoption and review were still required.</w:t>
      </w:r>
    </w:p>
    <w:p>
      <w:pPr>
        <w:numPr>
          <w:ilvl w:val="0"/>
          <w:numId w:val="1024"/>
        </w:numPr>
      </w:pPr>
      <w:hyperlink r:id="rId65">
        <w:r>
          <w:rPr>
            <w:rStyle w:val="Hyperlink"/>
          </w:rPr>
          <w:t xml:space="preserve">NIST AI Risk Management Framework</w:t>
        </w:r>
      </w:hyperlink>
      <w:r>
        <w:t xml:space="preserve"> </w:t>
      </w:r>
      <w:r>
        <w:t xml:space="preserve">— Voluntary, outcome-oriented AI risk framing. It does not prescribe a digital-worker lifecycle or state model.</w:t>
      </w:r>
    </w:p>
    <w:p>
      <w:pPr>
        <w:numPr>
          <w:ilvl w:val="0"/>
          <w:numId w:val="1024"/>
        </w:numPr>
      </w:pPr>
      <w:hyperlink r:id="rId67">
        <w:r>
          <w:rPr>
            <w:rStyle w:val="Hyperlink"/>
          </w:rPr>
          <w:t xml:space="preserve">ISO/IEC 42001:2023 preview</w:t>
        </w:r>
      </w:hyperlink>
      <w:r>
        <w:t xml:space="preserve"> </w:t>
      </w:r>
      <w:r>
        <w:t xml:space="preserve">— Organization-level AI management-system framing. It does not mandate the lifecycle distinctions used in this chapter.</w:t>
      </w:r>
    </w:p>
    <w:p>
      <w:r>
        <w:pict>
          <v:rect style="width:0;height:1.5pt" o:hralign="center" o:hrstd="t" o:hr="t"/>
        </w:pict>
      </w:r>
    </w:p>
    <w:bookmarkEnd w:id="121"/>
    <w:bookmarkEnd w:id="122"/>
    <w:bookmarkStart w:id="132" w:name="Xd4fe9bc456daad6cbf34f2e1e1c9f12b85dfc97"/>
    <w:p>
      <w:pPr>
        <w:pStyle w:val="Heading1"/>
      </w:pPr>
      <w:r>
        <w:t xml:space="preserve">Chapter 8 — The Portfolio Repeats the Decision</w:t>
      </w:r>
    </w:p>
    <w:p>
      <w:pPr>
        <w:pStyle w:val="FirstParagraph"/>
      </w:pPr>
      <w:r>
        <w:t xml:space="preserve">A portfolio is not a count of digital workers. It is a set of decisions that remain visible when more than one responsibility is in play.</w:t>
      </w:r>
    </w:p>
    <w:p>
      <w:pPr>
        <w:pStyle w:val="BodyText"/>
      </w:pPr>
      <w:r>
        <w:t xml:space="preserve">That distinction matters because the portfolio view is where organizations begin inventing false simplicity. A single worker can be described with care: its responsibility, owner, authority, evidence, evaluation, current disposition, and stop path. Add six more workers and someone will want a number. How many Digital FTEs do we have? What maturity level are we at? What is the total capacity? Which worker is</w:t>
      </w:r>
      <w:r>
        <w:t xml:space="preserve"> </w:t>
      </w:r>
      <w:r>
        <w:t xml:space="preserve">“</w:t>
      </w:r>
      <w:r>
        <w:t xml:space="preserve">most autonomous</w:t>
      </w:r>
      <w:r>
        <w:t xml:space="preserve">”</w:t>
      </w:r>
      <w:r>
        <w:t xml:space="preserve">?</w:t>
      </w:r>
    </w:p>
    <w:p>
      <w:pPr>
        <w:pStyle w:val="BodyText"/>
      </w:pPr>
      <w:r>
        <w:t xml:space="preserve">Those questions can be useful prompts, but they are poor sources of truth. They compress decisions that should stay separate. A worker can be active but narrowly authorized. It can be useful but paused while a human decision is pending. It can have a stable identity while its current responsibility has been superseded. It can be worth preserving even when no execution is permitted. It can consume scarce capacity without being a bad idea. It can create capacity without settling what the organization should do with that capacity.</w:t>
      </w:r>
    </w:p>
    <w:p>
      <w:pPr>
        <w:pStyle w:val="BodyText"/>
      </w:pPr>
      <w:r>
        <w:t xml:space="preserve">The portfolio does not solve this by finding a better ladder. It solves it by repeating the commissioning decision for every responsibility and then projecting the answers in the form needed for a particular judgment.</w:t>
      </w:r>
    </w:p>
    <w:p>
      <w:pPr>
        <w:pStyle w:val="BodyText"/>
      </w:pPr>
      <w:r>
        <w:t xml:space="preserve">The governing question still holds:</w:t>
      </w:r>
    </w:p>
    <w:p>
      <w:pPr>
        <w:pStyle w:val="BlockText"/>
      </w:pPr>
      <w:r>
        <w:t xml:space="preserve">Should this named digital worker be commissioned to own this ongoing responsibility now—and if so, under whose authority, with what evidence, lifecycle, evaluation, and stop path?</w:t>
      </w:r>
    </w:p>
    <w:p>
      <w:pPr>
        <w:pStyle w:val="FirstParagraph"/>
      </w:pPr>
      <w:r>
        <w:t xml:space="preserve">At portfolio scale, the sponsor asks the same question repeatedly. The work is not to make all the answers look alike.</w:t>
      </w:r>
    </w:p>
    <w:bookmarkStart w:id="123" w:name="Xc02ccd456a1edb0b10a6bb50a78ee0eb9037737"/>
    <w:p>
      <w:pPr>
        <w:pStyle w:val="Heading2"/>
      </w:pPr>
      <w:r>
        <w:t xml:space="preserve">A portfolio is a projection, not an organism</w:t>
      </w:r>
    </w:p>
    <w:p>
      <w:pPr>
        <w:pStyle w:val="FirstParagraph"/>
      </w:pPr>
      <w:r>
        <w:t xml:space="preserve">Leaders often inherit portfolio views that behave like a scoreboard. The projects are ranked, colored, totaled, and placed on a timeline. That can be useful for attention, but it becomes dangerous when the display begins rewriting the underlying facts.</w:t>
      </w:r>
    </w:p>
    <w:p>
      <w:pPr>
        <w:pStyle w:val="BodyText"/>
      </w:pPr>
      <w:r>
        <w:t xml:space="preserve">Consider a familiar status field: active, inactive, or complete. It appears to make a portfolio manageable. In reality, it often conceals several different questions:</w:t>
      </w:r>
    </w:p>
    <w:p>
      <w:pPr>
        <w:pStyle w:val="Compact"/>
        <w:numPr>
          <w:ilvl w:val="0"/>
          <w:numId w:val="1025"/>
        </w:numPr>
      </w:pPr>
      <w:r>
        <w:t xml:space="preserve">Does this worker identity still exist?</w:t>
      </w:r>
    </w:p>
    <w:p>
      <w:pPr>
        <w:pStyle w:val="Compact"/>
        <w:numPr>
          <w:ilvl w:val="0"/>
          <w:numId w:val="1025"/>
        </w:numPr>
      </w:pPr>
      <w:r>
        <w:t xml:space="preserve">Is the responsibility currently being pursued?</w:t>
      </w:r>
    </w:p>
    <w:p>
      <w:pPr>
        <w:pStyle w:val="Compact"/>
        <w:numPr>
          <w:ilvl w:val="0"/>
          <w:numId w:val="1025"/>
        </w:numPr>
      </w:pPr>
      <w:r>
        <w:t xml:space="preserve">Is execution permitted, supervised, manual, or disabled?</w:t>
      </w:r>
    </w:p>
    <w:p>
      <w:pPr>
        <w:pStyle w:val="Compact"/>
        <w:numPr>
          <w:ilvl w:val="0"/>
          <w:numId w:val="1025"/>
        </w:numPr>
      </w:pPr>
      <w:r>
        <w:t xml:space="preserve">What is happening in the runtime now?</w:t>
      </w:r>
    </w:p>
    <w:p>
      <w:pPr>
        <w:pStyle w:val="Compact"/>
        <w:numPr>
          <w:ilvl w:val="0"/>
          <w:numId w:val="1025"/>
        </w:numPr>
      </w:pPr>
      <w:r>
        <w:t xml:space="preserve">Is there a human approval or intervention waiting?</w:t>
      </w:r>
    </w:p>
    <w:p>
      <w:pPr>
        <w:pStyle w:val="Compact"/>
        <w:numPr>
          <w:ilvl w:val="0"/>
          <w:numId w:val="1025"/>
        </w:numPr>
      </w:pPr>
      <w:r>
        <w:t xml:space="preserve">Does the work consume scarce capacity?</w:t>
      </w:r>
    </w:p>
    <w:p>
      <w:pPr>
        <w:pStyle w:val="Compact"/>
        <w:numPr>
          <w:ilvl w:val="0"/>
          <w:numId w:val="1025"/>
        </w:numPr>
      </w:pPr>
      <w:r>
        <w:t xml:space="preserve">Are useful assets or evidence preserved for later use?</w:t>
      </w:r>
    </w:p>
    <w:p>
      <w:pPr>
        <w:pStyle w:val="FirstParagraph"/>
      </w:pPr>
      <w:r>
        <w:t xml:space="preserve">A single status cannot answer all of these without becoming vague.</w:t>
      </w:r>
      <w:r>
        <w:t xml:space="preserve"> </w:t>
      </w:r>
      <w:r>
        <w:t xml:space="preserve">“</w:t>
      </w:r>
      <w:r>
        <w:t xml:space="preserve">Inactive</w:t>
      </w:r>
      <w:r>
        <w:t xml:space="preserve">”</w:t>
      </w:r>
      <w:r>
        <w:t xml:space="preserve"> </w:t>
      </w:r>
      <w:r>
        <w:t xml:space="preserve">might mean deliberately parked, temporarily paused, retired after its purpose ended, superseded by another capability, waiting for authority, or simply unknown. Those are not operationally equivalent. A portfolio that treats them as equivalent forces the sponsor to rediscover the missing distinctions under pressure.</w:t>
      </w:r>
    </w:p>
    <w:p>
      <w:pPr>
        <w:pStyle w:val="BodyText"/>
      </w:pPr>
      <w:r>
        <w:t xml:space="preserve">The better approach is plain: keep the owner-native record intact, then create a portfolio projection for a particular decision.</w:t>
      </w:r>
    </w:p>
    <w:p>
      <w:pPr>
        <w:pStyle w:val="BodyText"/>
      </w:pPr>
      <w:r>
        <w:t xml:space="preserve">A sponsor may need a view of responsibilities requiring attention this week. That view should foreground current approvals, failed evidence, conflicting owner records, and decisions that cannot wait. It should not lead with every dormant project merely because all projects deserve a row somewhere.</w:t>
      </w:r>
    </w:p>
    <w:p>
      <w:pPr>
        <w:pStyle w:val="BodyText"/>
      </w:pPr>
      <w:r>
        <w:t xml:space="preserve">A sponsor may need a disposition view. That view should show which responsibilities are active, parked, retired, or superseded; what evidence is preserved; and what would be required to reopen the work. It should not imply that a parked responsibility is unhealthy or that retirement erased its history.</w:t>
      </w:r>
    </w:p>
    <w:p>
      <w:pPr>
        <w:pStyle w:val="BodyText"/>
      </w:pPr>
      <w:r>
        <w:t xml:space="preserve">A sponsor may need a capacity view. That view should show which approved work consumes a constrained resource, where a change in route or cadence is warranted, and which estimates are measured versus unknown. It should not turn the estimate into an employee count or a measure of organizational progress.</w:t>
      </w:r>
    </w:p>
    <w:p>
      <w:pPr>
        <w:pStyle w:val="BodyText"/>
      </w:pPr>
      <w:r>
        <w:t xml:space="preserve">A sponsor may need an accountability view. That view should foreground the named owner, authority boundary, evidence bar, and current disposition for each responsibility. It should not infer responsibility from a schedule, a tool connection, or a confident output.</w:t>
      </w:r>
    </w:p>
    <w:p>
      <w:pPr>
        <w:pStyle w:val="BodyText"/>
      </w:pPr>
      <w:r>
        <w:t xml:space="preserve">These are not competing versions of the portfolio. They are different questions asked of the same underlying decisions. The discipline is to make the projection explicit and refuse to let it overwrite the record it summarizes.</w:t>
      </w:r>
    </w:p>
    <w:p>
      <w:pPr>
        <w:pStyle w:val="BodyText"/>
      </w:pPr>
      <w:r>
        <w:t xml:space="preserve">That is why a portfolio is not a central oracle. A central view can reconcile and alert. It can make cross-responsibility conflicts easier to see. It cannot silently redefine a worker’s authority, infer a lifecycle choice from a missing schedule, or transform an unmeasured cost into zero.</w:t>
      </w:r>
    </w:p>
    <w:p>
      <w:pPr>
        <w:pStyle w:val="BodyText"/>
      </w:pPr>
      <w:r>
        <w:t xml:space="preserve">When the projection disagrees with the owner record, the disagreement is useful. It tells the sponsor where to investigate.</w:t>
      </w:r>
    </w:p>
    <w:bookmarkEnd w:id="123"/>
    <w:bookmarkStart w:id="124" w:name="X43cec33e1e49064a783e4e27b46a8d5dfef3612"/>
    <w:p>
      <w:pPr>
        <w:pStyle w:val="Heading2"/>
      </w:pPr>
      <w:r>
        <w:t xml:space="preserve">The portfolio record is deliberately wider than a roster</w:t>
      </w:r>
    </w:p>
    <w:p>
      <w:pPr>
        <w:pStyle w:val="FirstParagraph"/>
      </w:pPr>
      <w:r>
        <w:t xml:space="preserve">A roster answers,</w:t>
      </w:r>
      <w:r>
        <w:t xml:space="preserve"> </w:t>
      </w:r>
      <w:r>
        <w:t xml:space="preserve">“</w:t>
      </w:r>
      <w:r>
        <w:t xml:space="preserve">What named workers do we recognize?</w:t>
      </w:r>
      <w:r>
        <w:t xml:space="preserve">”</w:t>
      </w:r>
      <w:r>
        <w:t xml:space="preserve"> </w:t>
      </w:r>
      <w:r>
        <w:t xml:space="preserve">A portfolio answers,</w:t>
      </w:r>
      <w:r>
        <w:t xml:space="preserve"> </w:t>
      </w:r>
      <w:r>
        <w:t xml:space="preserve">“</w:t>
      </w:r>
      <w:r>
        <w:t xml:space="preserve">What accountable decisions are we carrying, and what should happen next?</w:t>
      </w:r>
      <w:r>
        <w:t xml:space="preserve">”</w:t>
      </w:r>
    </w:p>
    <w:p>
      <w:pPr>
        <w:pStyle w:val="BodyText"/>
      </w:pPr>
      <w:r>
        <w:t xml:space="preserve">The difference is easy to miss. A roster may properly list a stable identity and a charter. The portfolio needs to show the responsibility in its present condition. Is it being pursued? Is the work paused? Has a capability been replaced while the identity, evidence, and other responsibilities remain? Is the work operating manually because that is the authorized posture? Has a capacity constraint changed the sensible execution policy?</w:t>
      </w:r>
    </w:p>
    <w:p>
      <w:pPr>
        <w:pStyle w:val="BodyText"/>
      </w:pPr>
      <w:r>
        <w:t xml:space="preserve">For each worker-responsibility pair, the sponsor needs enough information to make a disposition without asking the system to pretend it has a single level of maturity. A practical record includes: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Question</w:t>
            </w:r>
          </w:p>
        </w:tc>
        <w:tc>
          <w:tcPr/>
          <w:p>
            <w:pPr>
              <w:pStyle w:val="Compact"/>
              <w:jc w:val="left"/>
            </w:pPr>
            <w:r>
              <w:t xml:space="preserve">What the portfolio must preserve</w:t>
            </w:r>
          </w:p>
        </w:tc>
      </w:tr>
      <w:tr>
        <w:tc>
          <w:tcPr/>
          <w:p>
            <w:pPr>
              <w:pStyle w:val="Compact"/>
              <w:jc w:val="left"/>
            </w:pPr>
            <w:r>
              <w:t xml:space="preserve">What is the unit?</w:t>
            </w:r>
          </w:p>
        </w:tc>
        <w:tc>
          <w:tcPr/>
          <w:p>
            <w:pPr>
              <w:pStyle w:val="Compact"/>
              <w:jc w:val="left"/>
            </w:pPr>
            <w:r>
              <w:t xml:space="preserve">Named worker, bounded ongoing responsibility, and stable owner record</w:t>
            </w:r>
          </w:p>
        </w:tc>
      </w:tr>
      <w:tr>
        <w:tc>
          <w:tcPr/>
          <w:p>
            <w:pPr>
              <w:pStyle w:val="Compact"/>
              <w:jc w:val="left"/>
            </w:pPr>
            <w:r>
              <w:t xml:space="preserve">Who is answerable?</w:t>
            </w:r>
          </w:p>
        </w:tc>
        <w:tc>
          <w:tcPr/>
          <w:p>
            <w:pPr>
              <w:pStyle w:val="Compact"/>
              <w:jc w:val="left"/>
            </w:pPr>
            <w:r>
              <w:t xml:space="preserve">Named human or organizational owner, plus the relevant approving authority</w:t>
            </w:r>
          </w:p>
        </w:tc>
      </w:tr>
      <w:tr>
        <w:tc>
          <w:tcPr/>
          <w:p>
            <w:pPr>
              <w:pStyle w:val="Compact"/>
              <w:jc w:val="left"/>
            </w:pPr>
            <w:r>
              <w:t xml:space="preserve">What may happen?</w:t>
            </w:r>
          </w:p>
        </w:tc>
        <w:tc>
          <w:tcPr/>
          <w:p>
            <w:pPr>
              <w:pStyle w:val="Compact"/>
              <w:jc w:val="left"/>
            </w:pPr>
            <w:r>
              <w:t xml:space="preserve">Current authority and execution policy</w:t>
            </w:r>
          </w:p>
        </w:tc>
      </w:tr>
      <w:tr>
        <w:tc>
          <w:tcPr/>
          <w:p>
            <w:pPr>
              <w:pStyle w:val="Compact"/>
              <w:jc w:val="left"/>
            </w:pPr>
            <w:r>
              <w:t xml:space="preserve">What supports continuation?</w:t>
            </w:r>
          </w:p>
        </w:tc>
        <w:tc>
          <w:tcPr/>
          <w:p>
            <w:pPr>
              <w:pStyle w:val="Compact"/>
              <w:jc w:val="left"/>
            </w:pPr>
            <w:r>
              <w:t xml:space="preserve">Evidence, evaluation, unresolved gaps, and freshness of the relevant record</w:t>
            </w:r>
          </w:p>
        </w:tc>
      </w:tr>
      <w:tr>
        <w:tc>
          <w:tcPr/>
          <w:p>
            <w:pPr>
              <w:pStyle w:val="Compact"/>
              <w:jc w:val="left"/>
            </w:pPr>
            <w:r>
              <w:t xml:space="preserve">What is the current decision?</w:t>
            </w:r>
          </w:p>
        </w:tc>
        <w:tc>
          <w:tcPr/>
          <w:p>
            <w:pPr>
              <w:pStyle w:val="Compact"/>
              <w:jc w:val="left"/>
            </w:pPr>
            <w:r>
              <w:t xml:space="preserve">Commission, continue, constrain, return for clarification, pause, park, redesign, retire, supersede, or refuse</w:t>
            </w:r>
          </w:p>
        </w:tc>
      </w:tr>
      <w:tr>
        <w:tc>
          <w:tcPr/>
          <w:p>
            <w:pPr>
              <w:pStyle w:val="Compact"/>
              <w:jc w:val="left"/>
            </w:pPr>
            <w:r>
              <w:t xml:space="preserve">What is preserved?</w:t>
            </w:r>
          </w:p>
        </w:tc>
        <w:tc>
          <w:tcPr/>
          <w:p>
            <w:pPr>
              <w:pStyle w:val="Compact"/>
              <w:jc w:val="left"/>
            </w:pPr>
            <w:r>
              <w:t xml:space="preserve">Useful assets, lineage, and evidence that should survive a change in disposition</w:t>
            </w:r>
          </w:p>
        </w:tc>
      </w:tr>
      <w:tr>
        <w:tc>
          <w:tcPr/>
          <w:p>
            <w:pPr>
              <w:pStyle w:val="Compact"/>
              <w:jc w:val="left"/>
            </w:pPr>
            <w:r>
              <w:t xml:space="preserve">What is scarce?</w:t>
            </w:r>
          </w:p>
        </w:tc>
        <w:tc>
          <w:tcPr/>
          <w:p>
            <w:pPr>
              <w:pStyle w:val="Compact"/>
              <w:jc w:val="left"/>
            </w:pPr>
            <w:r>
              <w:t xml:space="preserve">Capacity, attention, and other constraints, including what remains unmeasured</w:t>
            </w:r>
          </w:p>
        </w:tc>
      </w:tr>
    </w:tbl>
    <w:p>
      <w:pPr>
        <w:pStyle w:val="BodyText"/>
      </w:pPr>
      <w:r>
        <w:t xml:space="preserve">This is not a demand for a universal database schema. It is a test of whether the sponsor can explain a portfolio choice without smuggling in assumptions. If the answer to</w:t>
      </w:r>
      <w:r>
        <w:t xml:space="preserve"> </w:t>
      </w:r>
      <w:r>
        <w:t xml:space="preserve">“</w:t>
      </w:r>
      <w:r>
        <w:t xml:space="preserve">Why is this worker active?</w:t>
      </w:r>
      <w:r>
        <w:t xml:space="preserve">”</w:t>
      </w:r>
      <w:r>
        <w:t xml:space="preserve"> </w:t>
      </w:r>
      <w:r>
        <w:t xml:space="preserve">is</w:t>
      </w:r>
      <w:r>
        <w:t xml:space="preserve"> </w:t>
      </w:r>
      <w:r>
        <w:t xml:space="preserve">“</w:t>
      </w:r>
      <w:r>
        <w:t xml:space="preserve">because the schedule still runs,</w:t>
      </w:r>
      <w:r>
        <w:t xml:space="preserve">”</w:t>
      </w:r>
      <w:r>
        <w:t xml:space="preserve"> </w:t>
      </w:r>
      <w:r>
        <w:t xml:space="preserve">the decision has not been explained. If the answer to</w:t>
      </w:r>
      <w:r>
        <w:t xml:space="preserve"> </w:t>
      </w:r>
      <w:r>
        <w:t xml:space="preserve">“</w:t>
      </w:r>
      <w:r>
        <w:t xml:space="preserve">Why was this work retired?</w:t>
      </w:r>
      <w:r>
        <w:t xml:space="preserve">”</w:t>
      </w:r>
      <w:r>
        <w:t xml:space="preserve"> </w:t>
      </w:r>
      <w:r>
        <w:t xml:space="preserve">is</w:t>
      </w:r>
      <w:r>
        <w:t xml:space="preserve"> </w:t>
      </w:r>
      <w:r>
        <w:t xml:space="preserve">“</w:t>
      </w:r>
      <w:r>
        <w:t xml:space="preserve">because we removed the files,</w:t>
      </w:r>
      <w:r>
        <w:t xml:space="preserve">”</w:t>
      </w:r>
      <w:r>
        <w:t xml:space="preserve"> </w:t>
      </w:r>
      <w:r>
        <w:t xml:space="preserve">the evidence and the reason have been confused with deletion. If the answer to</w:t>
      </w:r>
      <w:r>
        <w:t xml:space="preserve"> </w:t>
      </w:r>
      <w:r>
        <w:t xml:space="preserve">“</w:t>
      </w:r>
      <w:r>
        <w:t xml:space="preserve">How much capacity does this portfolio create?</w:t>
      </w:r>
      <w:r>
        <w:t xml:space="preserve">”</w:t>
      </w:r>
      <w:r>
        <w:t xml:space="preserve"> </w:t>
      </w:r>
      <w:r>
        <w:t xml:space="preserve">is a count of workers, the organization has confused a metaphor with a measurement.</w:t>
      </w:r>
    </w:p>
    <w:p>
      <w:pPr>
        <w:pStyle w:val="BodyText"/>
      </w:pPr>
      <w:r>
        <w:t xml:space="preserve">A well-kept portfolio makes negative decisions legible. That is one of its most valuable jobs.</w:t>
      </w:r>
    </w:p>
    <w:p>
      <w:pPr>
        <w:pStyle w:val="BodyText"/>
      </w:pPr>
      <w:r>
        <w:t xml:space="preserve">A responsibility may be returned for clarification because its owner, evidence, or authority cannot yet be named. A worker may be constrained because the useful work is real but the approved authority is narrower than the original proposal. A project may be parked because it remains worth preserving but is not a current priority. A worker’s identity may remain intact while one capability is superseded. A route may be reversed because the capacity policy changed. None of these decisions should look like an embarrassment or a hidden failure.</w:t>
      </w:r>
    </w:p>
    <w:p>
      <w:pPr>
        <w:pStyle w:val="BodyText"/>
      </w:pPr>
      <w:r>
        <w:t xml:space="preserve">They are evidence that someone is governing the work.</w:t>
      </w:r>
    </w:p>
    <w:bookmarkEnd w:id="124"/>
    <w:bookmarkStart w:id="125" w:name="the-case-for-the-maturity-ladder"/>
    <w:p>
      <w:pPr>
        <w:pStyle w:val="Heading2"/>
      </w:pPr>
      <w:r>
        <w:t xml:space="preserve">The case for the maturity ladder</w:t>
      </w:r>
    </w:p>
    <w:p>
      <w:pPr>
        <w:pStyle w:val="FirstParagraph"/>
      </w:pPr>
      <w:r>
        <w:t xml:space="preserve">The maturity ladder—ranking workers from Level 1 (supervised) to Level 5 (fully autonomous)—is not a foolish invention. It solves a real problem for the sponsor: it turns a chaotic sprawl of experimental software into a measurable journey.</w:t>
      </w:r>
    </w:p>
    <w:p>
      <w:pPr>
        <w:pStyle w:val="BodyText"/>
      </w:pPr>
      <w:r>
        <w:t xml:space="preserve">The case for the ladder is strong. It creates a common vocabulary across business units. It rewards teams for removing human bottlenecks, aligning engineering effort with the promise of AI-driven efficiency. Most importantly, it gives leadership a single, legible metric of progress. Moving a worker from Level 2 to Level 3 feels like a victory because it implies the organization is getting better at managing risk and capturing value. Under normal conditions, the ladder works exactly as intended. It provides a simple heuristic for investment: fund the projects that are moving up, and scrutinize the ones that are stuck.</w:t>
      </w:r>
    </w:p>
    <w:p>
      <w:pPr>
        <w:pStyle w:val="BodyText"/>
      </w:pPr>
      <w:r>
        <w:t xml:space="preserve">But the ladder breaks under the pressure of actual accountability.</w:t>
      </w:r>
    </w:p>
    <w:p>
      <w:pPr>
        <w:pStyle w:val="BodyText"/>
      </w:pPr>
      <w:r>
        <w:t xml:space="preserve">It assumes that</w:t>
      </w:r>
      <w:r>
        <w:t xml:space="preserve"> </w:t>
      </w:r>
      <w:r>
        <w:t xml:space="preserve">“</w:t>
      </w:r>
      <w:r>
        <w:t xml:space="preserve">more autonomous</w:t>
      </w:r>
      <w:r>
        <w:t xml:space="preserve">”</w:t>
      </w:r>
      <w:r>
        <w:t xml:space="preserve"> </w:t>
      </w:r>
      <w:r>
        <w:t xml:space="preserve">always means</w:t>
      </w:r>
      <w:r>
        <w:t xml:space="preserve"> </w:t>
      </w:r>
      <w:r>
        <w:t xml:space="preserve">“</w:t>
      </w:r>
      <w:r>
        <w:t xml:space="preserve">more mature</w:t>
      </w:r>
      <w:r>
        <w:t xml:space="preserve">”</w:t>
      </w:r>
      <w:r>
        <w:t xml:space="preserve"> </w:t>
      </w:r>
      <w:r>
        <w:t xml:space="preserve">and</w:t>
      </w:r>
      <w:r>
        <w:t xml:space="preserve"> </w:t>
      </w:r>
      <w:r>
        <w:t xml:space="preserve">“</w:t>
      </w:r>
      <w:r>
        <w:t xml:space="preserve">more valuable.</w:t>
      </w:r>
      <w:r>
        <w:t xml:space="preserve">”</w:t>
      </w:r>
      <w:r>
        <w:t xml:space="preserve"> </w:t>
      </w:r>
      <w:r>
        <w:t xml:space="preserve">It treats human supervision as a defect to be engineered away, rather than a deliberate, accountable choice about authority. When a sponsor deliberately constrains a worker to interactive use because the underlying system requires human judgment, the ladder records this as a failure to advance. When a team builds a highly autonomous worker for a trivial task, the ladder records a triumph. The metric replaces the judgment. A portfolio should not punish an owner for correctly bounding a worker’s authority.</w:t>
      </w:r>
    </w:p>
    <w:bookmarkEnd w:id="125"/>
    <w:bookmarkStart w:id="126" w:name="X2599ff3021832ac9bc5621ba1b1906862851717"/>
    <w:p>
      <w:pPr>
        <w:pStyle w:val="Heading2"/>
      </w:pPr>
      <w:r>
        <w:t xml:space="preserve">Seven projects can have seven different truths</w:t>
      </w:r>
    </w:p>
    <w:p>
      <w:pPr>
        <w:pStyle w:val="FirstParagraph"/>
      </w:pPr>
      <w:r>
        <w:t xml:space="preserve">My estate’s seven-project portfolio projection illustrates the point. While its transfer to the enterprise remains an untested practitioner hypothesis, the local evidence shows why a single axis fails.</w:t>
      </w:r>
    </w:p>
    <w:p>
      <w:pPr>
        <w:pStyle w:val="BodyText"/>
      </w:pPr>
      <w:r>
        <w:t xml:space="preserve">One project had fulfilled the purpose for which it was created and was marked for retirement, with its repository and evidence preserved. Another was superseded by a newer coordinating role, but its history and shipped work remained meaningful. A personal project was parked with execution disabled. A utility project was parked because reactivation depended on a capacity decision, not because its documentation and artifacts had become useless. A partner-assisted effort remained active, but manual rather than unattended. A consulting accelerator was parked while reusable assets were preserved and a live-data scope remained unfinished. A paused identity retained its source ownership and evidence even though a user-facing briefing capability had been superseded.</w:t>
      </w:r>
    </w:p>
    <w:p>
      <w:pPr>
        <w:pStyle w:val="BodyText"/>
      </w:pPr>
      <w:r>
        <w:t xml:space="preserve">There is no credible ladder that places these seven conditions in a clean order.</w:t>
      </w:r>
    </w:p>
    <w:p>
      <w:pPr>
        <w:pStyle w:val="BodyText"/>
      </w:pPr>
      <w:r>
        <w:t xml:space="preserve">Is an active manual project more mature than a parked project with reusable assets? Is a preserved identity whose briefing capability has been superseded less valuable than a new specialist operating on demand? Is a retired experiment a failure, or is it a completed responsibility with an evidence trail that should remain inspectable? The answer depends on the decision being made. A portfolio view should expose those differences, not erase them for visual tidiness.</w:t>
      </w:r>
    </w:p>
    <w:p>
      <w:pPr>
        <w:pStyle w:val="BodyText"/>
      </w:pPr>
      <w:r>
        <w:t xml:space="preserve">This matters especially when a leader sees a paused or parked item and assumes it must be restarted. Restarting is not the default expression of confidence. It is a new decision. The sponsor should ask whether the responsibility still matters, whether the previous evidence remains applicable, whether the owner and authority are still correct, whether the surrounding conditions changed, and whether the capacity is available.</w:t>
      </w:r>
    </w:p>
    <w:p>
      <w:pPr>
        <w:pStyle w:val="BodyText"/>
      </w:pPr>
      <w:r>
        <w:t xml:space="preserve">The same caution applies to retirement. Retirement of a project or mission is not automatically retirement of a worker identity. A responsibility can end while a stable identity, source ownership, useful assets, or other duties remain. Conversely, a terminal identity retirement should not be reopened by a casual</w:t>
      </w:r>
      <w:r>
        <w:t xml:space="preserve"> </w:t>
      </w:r>
      <w:r>
        <w:t xml:space="preserve">“</w:t>
      </w:r>
      <w:r>
        <w:t xml:space="preserve">resume</w:t>
      </w:r>
      <w:r>
        <w:t xml:space="preserve">”</w:t>
      </w:r>
      <w:r>
        <w:t xml:space="preserve"> </w:t>
      </w:r>
      <w:r>
        <w:t xml:space="preserve">action. If a genuinely retired identity is needed again, the sponsor should require an explicit new commissioning lineage rather than pretending no prior decision occurred.</w:t>
      </w:r>
    </w:p>
    <w:p>
      <w:pPr>
        <w:pStyle w:val="BodyText"/>
      </w:pPr>
      <w:r>
        <w:t xml:space="preserve">These distinctions may feel administrative until the portfolio is under pressure. Then they become the difference between an accountable change and a quiet relaunch.</w:t>
      </w:r>
    </w:p>
    <w:p>
      <w:pPr>
        <w:pStyle w:val="BodyText"/>
      </w:pPr>
      <w:r>
        <w:t xml:space="preserve">The Visual Communication &amp; Architecture Illustrator provides a smaller example. It was first recorded as proposed and parked, then commissioned as an on-demand specialist, later suspended for remediation, and ultimately returned to its chartered on-demand mode after the relevant work was completed. The sequence does not describe a climb toward autonomy. It describes several different decisions: whether to commission, how the specialist should operate, what to do when remediation was necessary, and what authority should remain afterward.</w:t>
      </w:r>
    </w:p>
    <w:p>
      <w:pPr>
        <w:pStyle w:val="BodyText"/>
      </w:pPr>
      <w:r>
        <w:t xml:space="preserve">The useful fact is not that the worker moved through a sequence of labels. The useful fact is that the labels did not have to lie about the work.</w:t>
      </w:r>
    </w:p>
    <w:p>
      <w:pPr>
        <w:pStyle w:val="BodyText"/>
      </w:pPr>
      <w:r>
        <w:t xml:space="preserve">Likewise, a Career Advisor could be parked as optional while its code and data remained preserved. That did not require a claim that the work had failed, that the identity had been retired, or that the service should be silently treated as a required operational dependency. A portfolio becomes more trustworthy when</w:t>
      </w:r>
      <w:r>
        <w:t xml:space="preserve"> </w:t>
      </w:r>
      <w:r>
        <w:t xml:space="preserve">“</w:t>
      </w:r>
      <w:r>
        <w:t xml:space="preserve">not needed now</w:t>
      </w:r>
      <w:r>
        <w:t xml:space="preserve">”</w:t>
      </w:r>
      <w:r>
        <w:t xml:space="preserve"> </w:t>
      </w:r>
      <w:r>
        <w:t xml:space="preserve">is allowed to be a real, accountable answer.</w:t>
      </w:r>
    </w:p>
    <w:bookmarkEnd w:id="126"/>
    <w:bookmarkStart w:id="127" w:name="X59e9a825abd4c70494bc57bba65bba3e96804d2"/>
    <w:p>
      <w:pPr>
        <w:pStyle w:val="Heading2"/>
      </w:pPr>
      <w:r>
        <w:t xml:space="preserve">Capacity belongs in the decision, not in the headcount</w:t>
      </w:r>
    </w:p>
    <w:p>
      <w:pPr>
        <w:pStyle w:val="FirstParagraph"/>
      </w:pPr>
      <w:r>
        <w:t xml:space="preserve">Digital FTE is an understandable phrase. It gives leaders a way to describe automation in the language of capacity. Deloitte India uses the term for automations of repeatable processes that would typically require full-time human effort. That is a useful description of one kind of economic equivalence. It is not a legal employment category, a reporting relationship, a stable identity, or proof that several unlike systems can be added together as headcount.</w:t>
      </w:r>
    </w:p>
    <w:p>
      <w:pPr>
        <w:pStyle w:val="BodyText"/>
      </w:pPr>
      <w:r>
        <w:t xml:space="preserve">The temptation is to turn the phrase into a portfolio currency: three workers equal five Digital FTEs, therefore the portfolio is growing in value. That conclusion outruns the evidence.</w:t>
      </w:r>
    </w:p>
    <w:p>
      <w:pPr>
        <w:pStyle w:val="BodyText"/>
      </w:pPr>
      <w:r>
        <w:t xml:space="preserve">A worker may perform a narrow recurring responsibility, operate only with human supervision, remain disabled until a specific trigger, or consume capacity in a way that makes its value contingent. Another may support manual work without unattended execution. A third may be parked but preserve assets that make future work cheaper or safer. They should not be forced into a common headcount number merely because the organization wants a single total.</w:t>
      </w:r>
    </w:p>
    <w:p>
      <w:pPr>
        <w:pStyle w:val="BodyText"/>
      </w:pPr>
      <w:r>
        <w:t xml:space="preserve">The same caution applies to Workforce Unit Abstraction. Yuvaraj proposes a conceptual, seven-attribute schema for representing human and AI labor in planning, scheduling, and governance. That proposal may help a sponsor ask better questions about hybrid work. It does not establish an adopted standard, validate a universal maturity ladder, or supply a portfolio benchmark. In particular, the numerical claim sometimes associated with that article should not be used here: its denominator and method remain unresolved.</w:t>
      </w:r>
    </w:p>
    <w:p>
      <w:pPr>
        <w:pStyle w:val="BodyText"/>
      </w:pPr>
      <w:r>
        <w:t xml:space="preserve">The sponsor does not need to reject capacity language. The sponsor needs to put it in the right place.</w:t>
      </w:r>
    </w:p>
    <w:p>
      <w:pPr>
        <w:pStyle w:val="BodyText"/>
      </w:pPr>
      <w:r>
        <w:t xml:space="preserve">Capacity is one dimension of a portfolio record. It answers questions such as:</w:t>
      </w:r>
    </w:p>
    <w:p>
      <w:pPr>
        <w:pStyle w:val="Compact"/>
        <w:numPr>
          <w:ilvl w:val="0"/>
          <w:numId w:val="1026"/>
        </w:numPr>
      </w:pPr>
      <w:r>
        <w:t xml:space="preserve">What constrained resource does this responsibility consume?</w:t>
      </w:r>
    </w:p>
    <w:p>
      <w:pPr>
        <w:pStyle w:val="Compact"/>
        <w:numPr>
          <w:ilvl w:val="0"/>
          <w:numId w:val="1026"/>
        </w:numPr>
      </w:pPr>
      <w:r>
        <w:t xml:space="preserve">Is consumption measured, estimated, or unknown?</w:t>
      </w:r>
    </w:p>
    <w:p>
      <w:pPr>
        <w:pStyle w:val="Compact"/>
        <w:numPr>
          <w:ilvl w:val="0"/>
          <w:numId w:val="1026"/>
        </w:numPr>
      </w:pPr>
      <w:r>
        <w:t xml:space="preserve">What execution policy is currently approved under that constraint?</w:t>
      </w:r>
    </w:p>
    <w:p>
      <w:pPr>
        <w:pStyle w:val="Compact"/>
        <w:numPr>
          <w:ilvl w:val="0"/>
          <w:numId w:val="1026"/>
        </w:numPr>
      </w:pPr>
      <w:r>
        <w:t xml:space="preserve">What change would cause the sponsor to revisit the decision?</w:t>
      </w:r>
    </w:p>
    <w:p>
      <w:pPr>
        <w:pStyle w:val="Compact"/>
        <w:numPr>
          <w:ilvl w:val="0"/>
          <w:numId w:val="1026"/>
        </w:numPr>
      </w:pPr>
      <w:r>
        <w:t xml:space="preserve">Does the constraint affect a specific route, cadence, scope, or queue?</w:t>
      </w:r>
    </w:p>
    <w:p>
      <w:pPr>
        <w:pStyle w:val="Compact"/>
        <w:numPr>
          <w:ilvl w:val="0"/>
          <w:numId w:val="1026"/>
        </w:numPr>
      </w:pPr>
      <w:r>
        <w:t xml:space="preserve">What work would be crowded out if this responsibility continued unchanged?</w:t>
      </w:r>
    </w:p>
    <w:p>
      <w:pPr>
        <w:pStyle w:val="FirstParagraph"/>
      </w:pPr>
      <w:r>
        <w:t xml:space="preserve">Those questions are concrete enough to guide action.</w:t>
      </w:r>
      <w:r>
        <w:t xml:space="preserve"> </w:t>
      </w:r>
      <w:r>
        <w:t xml:space="preserve">“</w:t>
      </w:r>
      <w:r>
        <w:t xml:space="preserve">How many Digital FTEs do we have?</w:t>
      </w:r>
      <w:r>
        <w:t xml:space="preserve">”</w:t>
      </w:r>
      <w:r>
        <w:t xml:space="preserve"> </w:t>
      </w:r>
      <w:r>
        <w:t xml:space="preserve">is usually not.</w:t>
      </w:r>
    </w:p>
    <w:p>
      <w:pPr>
        <w:pStyle w:val="BodyText"/>
      </w:pPr>
      <w:r>
        <w:t xml:space="preserve">A route reversal in my estate makes the point. A routing profile was adopted for defined workloads after local testing. Soon afterward, continuous hourly background work consumed enough of a subscription quota that I directed a return to a different, more economical route in order to protect interactive use. A practical bound from that experience: ideation runs at most daily, sometimes weekly — nothing changes in an hour. The broader lesson is not that one route is universally superior. It is that capacity is part of commissioning and continuation. A sensible decision under one constraint can become a poor decision when the constraint changes.</w:t>
      </w:r>
    </w:p>
    <w:p>
      <w:pPr>
        <w:pStyle w:val="BodyText"/>
      </w:pPr>
      <w:r>
        <w:t xml:space="preserve">Nothing about that reversal changes the identity of the work or transfers accountability to a route. It changes the execution policy and the capacity judgment. A portfolio that sees only</w:t>
      </w:r>
      <w:r>
        <w:t xml:space="preserve"> </w:t>
      </w:r>
      <w:r>
        <w:t xml:space="preserve">“</w:t>
      </w:r>
      <w:r>
        <w:t xml:space="preserve">worker active</w:t>
      </w:r>
      <w:r>
        <w:t xml:space="preserve">”</w:t>
      </w:r>
      <w:r>
        <w:t xml:space="preserve"> </w:t>
      </w:r>
      <w:r>
        <w:t xml:space="preserve">will miss the reason for the change. A portfolio that sees only</w:t>
      </w:r>
      <w:r>
        <w:t xml:space="preserve"> </w:t>
      </w:r>
      <w:r>
        <w:t xml:space="preserve">“</w:t>
      </w:r>
      <w:r>
        <w:t xml:space="preserve">cost reduced</w:t>
      </w:r>
      <w:r>
        <w:t xml:space="preserve">”</w:t>
      </w:r>
      <w:r>
        <w:t xml:space="preserve"> </w:t>
      </w:r>
      <w:r>
        <w:t xml:space="preserve">will miss what the change protected. The decision was about preserving capacity for a particular kind of work, under a particular local subscription ecology.</w:t>
      </w:r>
    </w:p>
    <w:p>
      <w:pPr>
        <w:pStyle w:val="BodyText"/>
      </w:pPr>
      <w:r>
        <w:t xml:space="preserve">That is how route economics belongs in this book: as a scoped portfolio decision, not as a vendor comparison or an optimization manual.</w:t>
      </w:r>
    </w:p>
    <w:bookmarkEnd w:id="127"/>
    <w:bookmarkStart w:id="128" w:name="X7d5cbf648537b0926e42403ad50fc6f0851579b"/>
    <w:p>
      <w:pPr>
        <w:pStyle w:val="Heading2"/>
      </w:pPr>
      <w:r>
        <w:t xml:space="preserve">Attention is also a scarce portfolio resource</w:t>
      </w:r>
    </w:p>
    <w:p>
      <w:pPr>
        <w:pStyle w:val="FirstParagraph"/>
      </w:pPr>
      <w:r>
        <w:t xml:space="preserve">Capacity is not only money, tokens, or infrastructure. Sponsor attention is scarce, and a portfolio can waste it by treating every signal as equally urgent.</w:t>
      </w:r>
    </w:p>
    <w:p>
      <w:pPr>
        <w:pStyle w:val="BodyText"/>
      </w:pPr>
      <w:r>
        <w:t xml:space="preserve">A useful attention view separates at least five conditions: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Attention condition</w:t>
            </w:r>
          </w:p>
        </w:tc>
        <w:tc>
          <w:tcPr/>
          <w:p>
            <w:pPr>
              <w:pStyle w:val="Compact"/>
              <w:jc w:val="left"/>
            </w:pPr>
            <w:r>
              <w:t xml:space="preserve">The sponsor’s question</w:t>
            </w:r>
          </w:p>
        </w:tc>
      </w:tr>
      <w:tr>
        <w:tc>
          <w:tcPr/>
          <w:p>
            <w:pPr>
              <w:pStyle w:val="Compact"/>
              <w:jc w:val="left"/>
            </w:pPr>
            <w:r>
              <w:t xml:space="preserve">Action now</w:t>
            </w:r>
          </w:p>
        </w:tc>
        <w:tc>
          <w:tcPr/>
          <w:p>
            <w:pPr>
              <w:pStyle w:val="Compact"/>
              <w:jc w:val="left"/>
            </w:pPr>
            <w:r>
              <w:t xml:space="preserve">What has failed, conflicted, or become unsafe enough to require immediate human action?</w:t>
            </w:r>
          </w:p>
        </w:tc>
      </w:tr>
      <w:tr>
        <w:tc>
          <w:tcPr/>
          <w:p>
            <w:pPr>
              <w:pStyle w:val="Compact"/>
              <w:jc w:val="left"/>
            </w:pPr>
            <w:r>
              <w:t xml:space="preserve">Approval required</w:t>
            </w:r>
          </w:p>
        </w:tc>
        <w:tc>
          <w:tcPr/>
          <w:p>
            <w:pPr>
              <w:pStyle w:val="Compact"/>
              <w:jc w:val="left"/>
            </w:pPr>
            <w:r>
              <w:t xml:space="preserve">What is ready to proceed but cannot do so without named human authority?</w:t>
            </w:r>
          </w:p>
        </w:tc>
      </w:tr>
      <w:tr>
        <w:tc>
          <w:tcPr/>
          <w:p>
            <w:pPr>
              <w:pStyle w:val="Compact"/>
              <w:jc w:val="left"/>
            </w:pPr>
            <w:r>
              <w:t xml:space="preserve">Portfolio disposition</w:t>
            </w:r>
          </w:p>
        </w:tc>
        <w:tc>
          <w:tcPr/>
          <w:p>
            <w:pPr>
              <w:pStyle w:val="Compact"/>
              <w:jc w:val="left"/>
            </w:pPr>
            <w:r>
              <w:t xml:space="preserve">What is a deliberate choice about continuing, parking, retiring, or superseding work?</w:t>
            </w:r>
          </w:p>
        </w:tc>
      </w:tr>
      <w:tr>
        <w:tc>
          <w:tcPr/>
          <w:p>
            <w:pPr>
              <w:pStyle w:val="Compact"/>
              <w:jc w:val="left"/>
            </w:pPr>
            <w:r>
              <w:t xml:space="preserve">Observation degraded</w:t>
            </w:r>
          </w:p>
        </w:tc>
        <w:tc>
          <w:tcPr/>
          <w:p>
            <w:pPr>
              <w:pStyle w:val="Compact"/>
              <w:jc w:val="left"/>
            </w:pPr>
            <w:r>
              <w:t xml:space="preserve">What cannot be trusted because the relevant evidence is stale, incomplete, or conflicting?</w:t>
            </w:r>
          </w:p>
        </w:tc>
      </w:tr>
      <w:tr>
        <w:tc>
          <w:tcPr/>
          <w:p>
            <w:pPr>
              <w:pStyle w:val="Compact"/>
              <w:jc w:val="left"/>
            </w:pPr>
            <w:r>
              <w:t xml:space="preserve">Configuration hygiene</w:t>
            </w:r>
          </w:p>
        </w:tc>
        <w:tc>
          <w:tcPr/>
          <w:p>
            <w:pPr>
              <w:pStyle w:val="Compact"/>
              <w:jc w:val="left"/>
            </w:pPr>
            <w:r>
              <w:t xml:space="preserve">What looks inconsistent but reflects an intentional inactive posture rather than an active failure?</w:t>
            </w:r>
          </w:p>
        </w:tc>
      </w:tr>
    </w:tbl>
    <w:p>
      <w:pPr>
        <w:pStyle w:val="BodyText"/>
      </w:pPr>
      <w:r>
        <w:t xml:space="preserve">The labels are less important than the separation. A parked project should not compete with a live approval for the same red badge. A stale observation should not be disguised as a current failure. A configuration mismatch should not become a false emergency simply because a legacy dashboard does not understand the chosen disposition.</w:t>
      </w:r>
    </w:p>
    <w:p>
      <w:pPr>
        <w:pStyle w:val="BodyText"/>
      </w:pPr>
      <w:r>
        <w:t xml:space="preserve">In my estate, an offline review I conducted closed an operational attention loop while final publication authority remained mine. The point is not that every human conversation should become a system event. The point is that a portfolio view must not make machine-observable activity the only reality. A named human decision can change the portfolio, and the operating record should capture it without pretending that the system made the decision.</w:t>
      </w:r>
    </w:p>
    <w:p>
      <w:pPr>
        <w:pStyle w:val="BodyText"/>
      </w:pPr>
      <w:r>
        <w:t xml:space="preserve">This is another reason to avoid a maturity ladder. Ladders make</w:t>
      </w:r>
      <w:r>
        <w:t xml:space="preserve"> </w:t>
      </w:r>
      <w:r>
        <w:t xml:space="preserve">“</w:t>
      </w:r>
      <w:r>
        <w:t xml:space="preserve">more automated</w:t>
      </w:r>
      <w:r>
        <w:t xml:space="preserve">”</w:t>
      </w:r>
      <w:r>
        <w:t xml:space="preserve"> </w:t>
      </w:r>
      <w:r>
        <w:t xml:space="preserve">look like</w:t>
      </w:r>
      <w:r>
        <w:t xml:space="preserve"> </w:t>
      </w:r>
      <w:r>
        <w:t xml:space="preserve">“</w:t>
      </w:r>
      <w:r>
        <w:t xml:space="preserve">better governed.</w:t>
      </w:r>
      <w:r>
        <w:t xml:space="preserve">”</w:t>
      </w:r>
      <w:r>
        <w:t xml:space="preserve"> </w:t>
      </w:r>
      <w:r>
        <w:t xml:space="preserve">A portfolio needs the opposite reflex. A responsibility may be deliberately manual because that is the approved authority boundary. It may be supervised because the evidence is not yet sufficient for a broader execution policy. It may be disabled because the owner chose to preserve assets without permitting operation. These are not incomplete versions of the same destination.</w:t>
      </w:r>
    </w:p>
    <w:p>
      <w:pPr>
        <w:pStyle w:val="BodyText"/>
      </w:pPr>
      <w:r>
        <w:t xml:space="preserve">They are different answers to different risks and responsibilities.</w:t>
      </w:r>
    </w:p>
    <w:p>
      <w:pPr>
        <w:pStyle w:val="BodyText"/>
      </w:pPr>
      <w:r>
        <w:t xml:space="preserve">The sponsor’s dashboard should therefore be modest. It should direct attention, show the relevant evidence and owner, and make unresolved conflicts visible. It should not claim to be the portfolio’s source of truth. The more a dashboard turns nuanced decisions into a single executive score, the more likely it is to hide the choice that needs a human owner.</w:t>
      </w:r>
    </w:p>
    <w:bookmarkEnd w:id="128"/>
    <w:bookmarkStart w:id="129" w:name="cadence-should-answer-changed-reality"/>
    <w:p>
      <w:pPr>
        <w:pStyle w:val="Heading2"/>
      </w:pPr>
      <w:r>
        <w:t xml:space="preserve">Cadence should answer changed reality</w:t>
      </w:r>
    </w:p>
    <w:p>
      <w:pPr>
        <w:pStyle w:val="FirstParagraph"/>
      </w:pPr>
      <w:r>
        <w:t xml:space="preserve">Portfolios also fail when every responsibility is given the same rhythm.</w:t>
      </w:r>
    </w:p>
    <w:p>
      <w:pPr>
        <w:pStyle w:val="BodyText"/>
      </w:pPr>
      <w:r>
        <w:t xml:space="preserve">A weekly review may be sensible for a stable, low-consequence responsibility. A change in source material, a new human direction, a fresh failure signature, or an approaching strategic decision may warrant review sooner. Re-running expensive work simply because an hour has passed may consume capacity without improving the portfolio’s knowledge.</w:t>
      </w:r>
    </w:p>
    <w:p>
      <w:pPr>
        <w:pStyle w:val="BodyText"/>
      </w:pPr>
      <w:r>
        <w:t xml:space="preserve">My stated principle was blunt: autonomous systems should spend cognition in proportion to changed reality, not elapsed time. The principle is a local operating lesson, not a universal law. It is still a better portfolio question than</w:t>
      </w:r>
      <w:r>
        <w:t xml:space="preserve"> </w:t>
      </w:r>
      <w:r>
        <w:t xml:space="preserve">“</w:t>
      </w:r>
      <w:r>
        <w:t xml:space="preserve">How often can this run?</w:t>
      </w:r>
      <w:r>
        <w:t xml:space="preserve">”</w:t>
      </w:r>
    </w:p>
    <w:p>
      <w:pPr>
        <w:pStyle w:val="BodyText"/>
      </w:pPr>
      <w:r>
        <w:t xml:space="preserve">The Documentation Steward case shows why. Hourly autonomous authoring was paused and replaced with a one-time supervised batch while the relevant documentation work was reconsidered. The eventual operating cadence was intentionally left unresolved rather than guessed. A future change-detection approach was named as a possible decision, not installed as a fact.</w:t>
      </w:r>
    </w:p>
    <w:p>
      <w:pPr>
        <w:pStyle w:val="BodyText"/>
      </w:pPr>
      <w:r>
        <w:t xml:space="preserve">That restraint is part of the portfolio discipline. A cadence should change because the sponsor can name what changed, what evidence justifies renewed work, what authority permits it, and what result will be evaluated. Otherwise, a recurring schedule can become a machine for producing activity that the portfolio mistakes for progress.</w:t>
      </w:r>
    </w:p>
    <w:p>
      <w:pPr>
        <w:pStyle w:val="BodyText"/>
      </w:pPr>
      <w:r>
        <w:t xml:space="preserve">A change-aware cadence does not mean</w:t>
      </w:r>
      <w:r>
        <w:t xml:space="preserve"> </w:t>
      </w:r>
      <w:r>
        <w:t xml:space="preserve">“</w:t>
      </w:r>
      <w:r>
        <w:t xml:space="preserve">never run unless something is wrong.</w:t>
      </w:r>
      <w:r>
        <w:t xml:space="preserve">”</w:t>
      </w:r>
      <w:r>
        <w:t xml:space="preserve"> </w:t>
      </w:r>
      <w:r>
        <w:t xml:space="preserve">Some responsibilities genuinely require regular checks. It means the sponsor should distinguish time-based obligations from repeated cognition whose only justification is the existence of an open backlog or an old failure. It also means the portfolio should preserve unknowns. If a source cannot be measured, it is unknown—not zero. If a change predicate has not been validated, it is not yet a control.</w:t>
      </w:r>
    </w:p>
    <w:p>
      <w:pPr>
        <w:pStyle w:val="BodyText"/>
      </w:pPr>
      <w:r>
        <w:t xml:space="preserve">This is where portfolio judgment becomes practical. The sponsor can ask:</w:t>
      </w:r>
    </w:p>
    <w:p>
      <w:pPr>
        <w:pStyle w:val="Compact"/>
        <w:numPr>
          <w:ilvl w:val="0"/>
          <w:numId w:val="1027"/>
        </w:numPr>
      </w:pPr>
      <w:r>
        <w:t xml:space="preserve">What changed since the last approved decision?</w:t>
      </w:r>
    </w:p>
    <w:p>
      <w:pPr>
        <w:pStyle w:val="Compact"/>
        <w:numPr>
          <w:ilvl w:val="0"/>
          <w:numId w:val="1027"/>
        </w:numPr>
      </w:pPr>
      <w:r>
        <w:t xml:space="preserve">Which responsibility is affected?</w:t>
      </w:r>
    </w:p>
    <w:p>
      <w:pPr>
        <w:pStyle w:val="Compact"/>
        <w:numPr>
          <w:ilvl w:val="0"/>
          <w:numId w:val="1027"/>
        </w:numPr>
      </w:pPr>
      <w:r>
        <w:t xml:space="preserve">Does the changed condition alter authority, evidence, capacity, or disposition?</w:t>
      </w:r>
    </w:p>
    <w:p>
      <w:pPr>
        <w:pStyle w:val="Compact"/>
        <w:numPr>
          <w:ilvl w:val="0"/>
          <w:numId w:val="1027"/>
        </w:numPr>
      </w:pPr>
      <w:r>
        <w:t xml:space="preserve">Is a new run necessary, or is a human review the more appropriate next step?</w:t>
      </w:r>
    </w:p>
    <w:p>
      <w:pPr>
        <w:pStyle w:val="Compact"/>
        <w:numPr>
          <w:ilvl w:val="0"/>
          <w:numId w:val="1027"/>
        </w:numPr>
      </w:pPr>
      <w:r>
        <w:t xml:space="preserve">What would count as enough evidence to continue, constrain, pause, or retire?</w:t>
      </w:r>
    </w:p>
    <w:p>
      <w:pPr>
        <w:pStyle w:val="FirstParagraph"/>
      </w:pPr>
      <w:r>
        <w:t xml:space="preserve">Those questions repeat the commissioning decision without requiring every worker to be restarted from scratch.</w:t>
      </w:r>
    </w:p>
    <w:bookmarkEnd w:id="129"/>
    <w:bookmarkStart w:id="130" w:name="X551695a6fbc90c432e9a3dea30c32850bdc29cf"/>
    <w:p>
      <w:pPr>
        <w:pStyle w:val="Heading2"/>
      </w:pPr>
      <w:r>
        <w:t xml:space="preserve">The handoff is a boundary, not an omission</w:t>
      </w:r>
    </w:p>
    <w:p>
      <w:pPr>
        <w:pStyle w:val="FirstParagraph"/>
      </w:pPr>
      <w:r>
        <w:t xml:space="preserve">A portfolio can show capacity created, capacity consumed, and capacity constrained. It can identify a responsibility that should be commissioned, paused, redesigned, or retired. It can make the cost of a route or cadence visible enough to trigger reconsideration.</w:t>
      </w:r>
    </w:p>
    <w:p>
      <w:pPr>
        <w:pStyle w:val="BodyText"/>
      </w:pPr>
      <w:r>
        <w:t xml:space="preserve">It does not decide where AI-created capacity should be reinvested.</w:t>
      </w:r>
    </w:p>
    <w:p>
      <w:pPr>
        <w:pStyle w:val="BodyText"/>
      </w:pPr>
      <w:r>
        <w:t xml:space="preserve">That is a different executive decision. The Business Growth Playbook asks where the organization should direct capacity toward growth, capability, people, or another strategic purpose. This book asks whether a named digital worker should own an ongoing responsibility and under what accountable conditions. The same sponsor may need to make both decisions. The portfolio should make their boundary clearer, not collapse them.</w:t>
      </w:r>
    </w:p>
    <w:p>
      <w:pPr>
        <w:pStyle w:val="BodyText"/>
      </w:pPr>
      <w:r>
        <w:t xml:space="preserve">If a portfolio shows that a constrained route was changed to protect interactive work, that is a commissioning and capacity-policy decision. If leadership then asks how the released capacity should be invested, the question has moved to Business Growth territory. A portfolio view may provide evidence for that conversation. It should not quietly become a growth-allocation playbook.</w:t>
      </w:r>
    </w:p>
    <w:p>
      <w:pPr>
        <w:pStyle w:val="BodyText"/>
      </w:pPr>
      <w:r>
        <w:t xml:space="preserve">The adjacent books remain protected by the handoff: team construction and capability-level autonomy controls stay in their own books, while this chapter keeps the sponsor’s repeated judgment across named responsibilities in view—who owns what, under what authority, with what evidence, current disposition, and constraint.</w:t>
      </w:r>
    </w:p>
    <w:p>
      <w:pPr>
        <w:pStyle w:val="BodyText"/>
      </w:pPr>
      <w:r>
        <w:t xml:space="preserve">That judgment is less glamorous than announcing a workforce count. It is also more useful.</w:t>
      </w:r>
    </w:p>
    <w:p>
      <w:pPr>
        <w:pStyle w:val="BodyText"/>
      </w:pPr>
      <w:r>
        <w:t xml:space="preserve">A portfolio becomes trustworthy when a sponsor can look at every row and answer three questions without reaching for a slogan:</w:t>
      </w:r>
    </w:p>
    <w:p>
      <w:pPr>
        <w:pStyle w:val="Compact"/>
        <w:numPr>
          <w:ilvl w:val="0"/>
          <w:numId w:val="1028"/>
        </w:numPr>
      </w:pPr>
      <w:r>
        <w:t xml:space="preserve">What responsibility is this worker authorized to own now?</w:t>
      </w:r>
    </w:p>
    <w:p>
      <w:pPr>
        <w:pStyle w:val="Compact"/>
        <w:numPr>
          <w:ilvl w:val="0"/>
          <w:numId w:val="1028"/>
        </w:numPr>
      </w:pPr>
      <w:r>
        <w:t xml:space="preserve">What evidence and human decision justify its current disposition?</w:t>
      </w:r>
    </w:p>
    <w:p>
      <w:pPr>
        <w:pStyle w:val="Compact"/>
        <w:numPr>
          <w:ilvl w:val="0"/>
          <w:numId w:val="1028"/>
        </w:numPr>
      </w:pPr>
      <w:r>
        <w:t xml:space="preserve">What would have to change before that disposition changes?</w:t>
      </w:r>
    </w:p>
    <w:p>
      <w:pPr>
        <w:pStyle w:val="FirstParagraph"/>
      </w:pPr>
      <w:r>
        <w:t xml:space="preserve">If those answers are visible, the portfolio can grow without becoming a ladder. It remains a set of accountable decisions—different in kind, comparable only where comparison serves a real choice, and always returned to the human owner who must make the next call.</w:t>
      </w:r>
    </w:p>
    <w:p>
      <w:pPr>
        <w:pStyle w:val="BodyText"/>
      </w:pPr>
      <w:r>
        <w:t xml:space="preserve">The portfolio view is what the sponsor carries into the final review. Chapter 9 turns one row of that portfolio into a concrete decision page and a recorded disposition.</w:t>
      </w:r>
    </w:p>
    <w:bookmarkEnd w:id="130"/>
    <w:bookmarkStart w:id="131" w:name="sources-and-evidence-notes-7"/>
    <w:p>
      <w:pPr>
        <w:pStyle w:val="Heading2"/>
      </w:pPr>
      <w:r>
        <w:t xml:space="preserve">Sources and evidence notes</w:t>
      </w:r>
    </w:p>
    <w:p>
      <w:pPr>
        <w:numPr>
          <w:ilvl w:val="0"/>
          <w:numId w:val="1029"/>
        </w:numPr>
      </w:pPr>
      <w:r>
        <w:t xml:space="preserve">Source 1 —</w:t>
      </w:r>
      <w:r>
        <w:t xml:space="preserve"> </w:t>
      </w:r>
      <w:r>
        <w:rPr>
          <w:i/>
          <w:iCs/>
        </w:rPr>
        <w:t xml:space="preserve">The author’s internal estate documentation</w:t>
      </w:r>
      <w:r>
        <w:t xml:space="preserve">,</w:t>
      </w:r>
      <w:r>
        <w:t xml:space="preserve"> </w:t>
      </w:r>
      <w:r>
        <w:t xml:space="preserve">“</w:t>
      </w:r>
      <w:r>
        <w:t xml:space="preserve">Seven-project target projection</w:t>
      </w:r>
      <w:r>
        <w:t xml:space="preserve">”</w:t>
      </w:r>
      <w:r>
        <w:t xml:space="preserve"> </w:t>
      </w:r>
      <w:r>
        <w:t xml:space="preserve">and</w:t>
      </w:r>
      <w:r>
        <w:t xml:space="preserve"> </w:t>
      </w:r>
      <w:r>
        <w:t xml:space="preserve">“</w:t>
      </w:r>
      <w:r>
        <w:t xml:space="preserve">Governed retirement and reactivation</w:t>
      </w:r>
      <w:r>
        <w:t xml:space="preserve">”</w:t>
      </w:r>
      <w:r>
        <w:t xml:space="preserve">;</w:t>
      </w:r>
      <w:r>
        <w:t xml:space="preserve"> </w:t>
      </w:r>
      <w:r>
        <w:rPr>
          <w:i/>
          <w:iCs/>
        </w:rPr>
        <w:t xml:space="preserve">The author’s operating decision log</w:t>
      </w:r>
      <w:r>
        <w:t xml:space="preserve">, D79. Scope: practitioner hypothesis drawn from estate records.</w:t>
      </w:r>
    </w:p>
    <w:p>
      <w:pPr>
        <w:numPr>
          <w:ilvl w:val="0"/>
          <w:numId w:val="1029"/>
        </w:numPr>
      </w:pPr>
      <w:r>
        <w:t xml:space="preserve">Source 2 —</w:t>
      </w:r>
      <w:r>
        <w:t xml:space="preserve"> </w:t>
      </w:r>
      <w:r>
        <w:rPr>
          <w:i/>
          <w:iCs/>
        </w:rPr>
        <w:t xml:space="preserve">The author’s operating decision log</w:t>
      </w:r>
      <w:r>
        <w:t xml:space="preserve">, D67, D68, and D71;</w:t>
      </w:r>
      <w:r>
        <w:t xml:space="preserve"> </w:t>
      </w:r>
      <w:r>
        <w:rPr>
          <w:i/>
          <w:iCs/>
        </w:rPr>
        <w:t xml:space="preserve">The book’s internal research ledger</w:t>
      </w:r>
      <w:r>
        <w:t xml:space="preserve">. Scope: practitioner hypothesis drawn from estate records.</w:t>
      </w:r>
    </w:p>
    <w:p>
      <w:pPr>
        <w:numPr>
          <w:ilvl w:val="0"/>
          <w:numId w:val="1029"/>
        </w:numPr>
      </w:pPr>
      <w:r>
        <w:t xml:space="preserve">Source 3 —</w:t>
      </w:r>
      <w:r>
        <w:t xml:space="preserve"> </w:t>
      </w:r>
      <w:r>
        <w:rPr>
          <w:i/>
          <w:iCs/>
        </w:rPr>
        <w:t xml:space="preserve">The author’s operating decision log</w:t>
      </w:r>
      <w:r>
        <w:t xml:space="preserve">, D69;</w:t>
      </w:r>
      <w:r>
        <w:t xml:space="preserve"> </w:t>
      </w:r>
      <w:r>
        <w:rPr>
          <w:i/>
          <w:iCs/>
        </w:rPr>
        <w:t xml:space="preserve">The book’s internal research ledger</w:t>
      </w:r>
      <w:r>
        <w:t xml:space="preserve">. Scope: practitioner hypothesis drawn from estate records.</w:t>
      </w:r>
    </w:p>
    <w:p>
      <w:pPr>
        <w:numPr>
          <w:ilvl w:val="0"/>
          <w:numId w:val="1029"/>
        </w:numPr>
      </w:pPr>
      <w:r>
        <w:t xml:space="preserve">Source 4 — Deloitte India,</w:t>
      </w:r>
      <w:r>
        <w:t xml:space="preserve"> </w:t>
      </w:r>
      <w:r>
        <w:t xml:space="preserve">“</w:t>
      </w:r>
      <w:r>
        <w:t xml:space="preserve">AI meets efficiency: The rise of Digital FTEs,</w:t>
      </w:r>
      <w:r>
        <w:t xml:space="preserve">”</w:t>
      </w:r>
      <w:r>
        <w:t xml:space="preserve"> </w:t>
      </w:r>
      <w:r>
        <w:t xml:space="preserve">July 1, 2025, https://www.deloitte.com/in/en/services/consulting/perspectives/ai-meets-efficiency.html. Scope: Deloitte’s capacity/process-automation metaphor. It does not establish legal employment, personhood, reporting relationships, or a standardized portfolio measure.</w:t>
      </w:r>
    </w:p>
    <w:p>
      <w:pPr>
        <w:numPr>
          <w:ilvl w:val="0"/>
          <w:numId w:val="1029"/>
        </w:numPr>
      </w:pPr>
      <w:r>
        <w:t xml:space="preserve">Source 5 — Gopal Yuvaraj,</w:t>
      </w:r>
      <w:r>
        <w:t xml:space="preserve"> </w:t>
      </w:r>
      <w:r>
        <w:t xml:space="preserve">“</w:t>
      </w:r>
      <w:r>
        <w:t xml:space="preserve">Workforce Unit Abstraction for Governing Hybrid Human and Artificial Intelligence Operations,</w:t>
      </w:r>
      <w:r>
        <w:t xml:space="preserve">”</w:t>
      </w:r>
      <w:r>
        <w:t xml:space="preserve"> </w:t>
      </w:r>
      <w:r>
        <w:rPr>
          <w:i/>
          <w:iCs/>
        </w:rPr>
        <w:t xml:space="preserve">IJESTY</w:t>
      </w:r>
      <w:r>
        <w:t xml:space="preserve"> </w:t>
      </w:r>
      <w:r>
        <w:t xml:space="preserve">6(2), 2026, https://doi.org/10.52088/ijesty.v6i2.1811; primary PDF: https://ijesty.org/index.php/ijesty/article/download/1811/702. Scope: a conceptual/design-science proposal. The numerical claims associated with the paper are not used because their underlying denominator and method remain unresolved.</w:t>
      </w:r>
    </w:p>
    <w:p>
      <w:pPr>
        <w:numPr>
          <w:ilvl w:val="0"/>
          <w:numId w:val="1029"/>
        </w:numPr>
      </w:pPr>
      <w:r>
        <w:t xml:space="preserve">Source 6 —</w:t>
      </w:r>
      <w:r>
        <w:t xml:space="preserve"> </w:t>
      </w:r>
      <w:r>
        <w:rPr>
          <w:i/>
          <w:iCs/>
        </w:rPr>
        <w:t xml:space="preserve">The author’s operating decision log</w:t>
      </w:r>
      <w:r>
        <w:t xml:space="preserve">, D63 and D72;</w:t>
      </w:r>
      <w:r>
        <w:t xml:space="preserve"> </w:t>
      </w:r>
      <w:r>
        <w:rPr>
          <w:i/>
          <w:iCs/>
        </w:rPr>
        <w:t xml:space="preserve">The book’s internal research ledger</w:t>
      </w:r>
      <w:r>
        <w:t xml:space="preserve">,</w:t>
      </w:r>
      <w:r>
        <w:t xml:space="preserve"> </w:t>
      </w:r>
      <w:r>
        <w:t xml:space="preserve">“</w:t>
      </w:r>
      <w:r>
        <w:t xml:space="preserve">Crew commissioning reversal.</w:t>
      </w:r>
      <w:r>
        <w:t xml:space="preserve">”</w:t>
      </w:r>
      <w:r>
        <w:t xml:space="preserve"> </w:t>
      </w:r>
      <w:r>
        <w:t xml:space="preserve">Scope: practitioner hypothesis drawn from estate records.</w:t>
      </w:r>
    </w:p>
    <w:p>
      <w:pPr>
        <w:numPr>
          <w:ilvl w:val="0"/>
          <w:numId w:val="1029"/>
        </w:numPr>
      </w:pPr>
      <w:r>
        <w:t xml:space="preserve">Source 7 —</w:t>
      </w:r>
      <w:r>
        <w:t xml:space="preserve"> </w:t>
      </w:r>
      <w:r>
        <w:rPr>
          <w:i/>
          <w:iCs/>
        </w:rPr>
        <w:t xml:space="preserve">The author’s operating decision log</w:t>
      </w:r>
      <w:r>
        <w:t xml:space="preserve">, D62;</w:t>
      </w:r>
      <w:r>
        <w:t xml:space="preserve"> </w:t>
      </w:r>
      <w:r>
        <w:rPr>
          <w:i/>
          <w:iCs/>
        </w:rPr>
        <w:t xml:space="preserve">The book’s internal research ledger</w:t>
      </w:r>
      <w:r>
        <w:t xml:space="preserve">, C22. Scope: practitioner hypothesis drawn from estate records.</w:t>
      </w:r>
    </w:p>
    <w:p>
      <w:pPr>
        <w:numPr>
          <w:ilvl w:val="0"/>
          <w:numId w:val="1029"/>
        </w:numPr>
      </w:pPr>
      <w:r>
        <w:t xml:space="preserve">Source 8 —</w:t>
      </w:r>
      <w:r>
        <w:t xml:space="preserve"> </w:t>
      </w:r>
      <w:r>
        <w:rPr>
          <w:i/>
          <w:iCs/>
        </w:rPr>
        <w:t xml:space="preserve">The author’s operating decision log</w:t>
      </w:r>
      <w:r>
        <w:t xml:space="preserve">, D74. Scope: practitioner hypothesis drawn from estate records.</w:t>
      </w:r>
    </w:p>
    <w:p>
      <w:pPr>
        <w:numPr>
          <w:ilvl w:val="0"/>
          <w:numId w:val="1029"/>
        </w:numPr>
      </w:pPr>
      <w:r>
        <w:t xml:space="preserve">Source 9 —</w:t>
      </w:r>
      <w:r>
        <w:t xml:space="preserve"> </w:t>
      </w:r>
      <w:r>
        <w:rPr>
          <w:i/>
          <w:iCs/>
        </w:rPr>
        <w:t xml:space="preserve">The author’s operating decision log</w:t>
      </w:r>
      <w:r>
        <w:t xml:space="preserve">, D73;</w:t>
      </w:r>
      <w:r>
        <w:t xml:space="preserve"> </w:t>
      </w:r>
      <w:r>
        <w:rPr>
          <w:i/>
          <w:iCs/>
        </w:rPr>
        <w:t xml:space="preserve">The book’s internal research ledger</w:t>
      </w:r>
      <w:r>
        <w:t xml:space="preserve">. Scope: practitioner hypothesis drawn from estate records.</w:t>
      </w:r>
    </w:p>
    <w:p>
      <w:r>
        <w:pict>
          <v:rect style="width:0;height:1.5pt" o:hralign="center" o:hrstd="t" o:hr="t"/>
        </w:pict>
      </w:r>
    </w:p>
    <w:bookmarkEnd w:id="131"/>
    <w:bookmarkEnd w:id="132"/>
    <w:bookmarkStart w:id="153" w:name="chapter-9-the-sponsors-decision-review"/>
    <w:p>
      <w:pPr>
        <w:pStyle w:val="Heading1"/>
      </w:pPr>
      <w:r>
        <w:t xml:space="preserve">Chapter 9 — The Sponsor’s Decision Review</w:t>
      </w:r>
    </w:p>
    <w:p>
      <w:pPr>
        <w:pStyle w:val="FirstParagraph"/>
      </w:pPr>
      <w:r>
        <w:t xml:space="preserve">The sponsor’s review should end with a decision, not a compliment.</w:t>
      </w:r>
    </w:p>
    <w:p>
      <w:pPr>
        <w:pStyle w:val="BodyText"/>
      </w:pPr>
      <w:r>
        <w:t xml:space="preserve">A proposed digital worker may be impressive. It may have completed a difficult task, produced a convincing answer, or shown a useful pattern under supervision. None of that settles the question the sponsor has to answer:</w:t>
      </w:r>
    </w:p>
    <w:p>
      <w:pPr>
        <w:pStyle w:val="BlockText"/>
      </w:pPr>
      <w:r>
        <w:t xml:space="preserve">Should this named digital worker be commissioned to own this ongoing responsibility now—and if so, under whose authority, with what evidence, lifecycle, evaluation, and stop path?</w:t>
      </w:r>
    </w:p>
    <w:p>
      <w:pPr>
        <w:pStyle w:val="FirstParagraph"/>
      </w:pPr>
      <w:r>
        <w:t xml:space="preserve">That question is deliberately harder than</w:t>
      </w:r>
      <w:r>
        <w:t xml:space="preserve"> </w:t>
      </w:r>
      <w:r>
        <w:t xml:space="preserve">“</w:t>
      </w:r>
      <w:r>
        <w:t xml:space="preserve">Does it work?</w:t>
      </w:r>
      <w:r>
        <w:t xml:space="preserve">”</w:t>
      </w:r>
      <w:r>
        <w:t xml:space="preserve"> </w:t>
      </w:r>
      <w:r>
        <w:t xml:space="preserve">It asks whether the organization is ready to place an ongoing responsibility inside a named operating unit and remain answerable for the consequences.</w:t>
      </w:r>
    </w:p>
    <w:p>
      <w:pPr>
        <w:pStyle w:val="BodyText"/>
      </w:pPr>
      <w:r>
        <w:t xml:space="preserve">A governance review performed after capability approval is too late. By then, the organization has often started treating the worker’s continuation as inevitable. The review becomes an exercise in documenting what has already been allowed: a checklist attached to momentum.</w:t>
      </w:r>
    </w:p>
    <w:p>
      <w:pPr>
        <w:pStyle w:val="BodyText"/>
      </w:pPr>
      <w:r>
        <w:t xml:space="preserve">The sponsor needs the opposite sequence. Capability is one input. The review determines whether the current commission is warranted, bounded, inspectable, and reversible.</w:t>
      </w:r>
    </w:p>
    <w:p>
      <w:pPr>
        <w:pStyle w:val="BodyText"/>
      </w:pPr>
      <w:r>
        <w:t xml:space="preserve">That means the sponsor needs a single decision artifact for a single named worker and a single ongoing responsibility. It should be short enough to use in a real review and rigorous enough that a missing owner, a vague authority boundary, or an unmeasured failure cannot hide behind a polished demonstration.</w:t>
      </w:r>
    </w:p>
    <w:p>
      <w:pPr>
        <w:pStyle w:val="BodyText"/>
      </w:pPr>
      <w:r>
        <w:t xml:space="preserve">The artifact does not make the sponsor the technical implementer, security approver, legal authority, or operator of every system involved. It makes the sponsor responsible for asking the organizational questions that no runtime can answer on its own.</w:t>
      </w:r>
    </w:p>
    <w:p>
      <w:pPr>
        <w:pStyle w:val="BodyText"/>
      </w:pPr>
      <w:r>
        <w:t xml:space="preserve">The page previewed in Chapter 1 returns here as the sponsor’s working artifact. The difference is that this chapter asks the sponsor to use it in sequence, choose one disposition, and record what would justify changing that decision later.</w:t>
      </w:r>
    </w:p>
    <w:bookmarkStart w:id="133" w:name="begin-with-the-decision-not-the-system"/>
    <w:p>
      <w:pPr>
        <w:pStyle w:val="Heading2"/>
      </w:pPr>
      <w:r>
        <w:t xml:space="preserve">Begin with the decision, not the system</w:t>
      </w:r>
    </w:p>
    <w:p>
      <w:pPr>
        <w:pStyle w:val="FirstParagraph"/>
      </w:pPr>
      <w:r>
        <w:t xml:space="preserve">The review should begin with a sentence that can be accepted, returned, or refused:</w:t>
      </w:r>
    </w:p>
    <w:p>
      <w:pPr>
        <w:pStyle w:val="BlockText"/>
      </w:pPr>
      <w:r>
        <w:t xml:space="preserve">Approve, constrain, return for clarification, pause, redesign, retire, or refuse this named worker’s responsibility under the conditions recorded here.</w:t>
      </w:r>
    </w:p>
    <w:p>
      <w:pPr>
        <w:pStyle w:val="FirstParagraph"/>
      </w:pPr>
      <w:r>
        <w:t xml:space="preserve">That sentence matters because every other field exists to make the disposition defensible.</w:t>
      </w:r>
    </w:p>
    <w:p>
      <w:pPr>
        <w:pStyle w:val="BodyText"/>
      </w:pPr>
      <w:r>
        <w:t xml:space="preserve">A system diagram may be useful. A model comparison may be useful. A benchmark, a trace, a cost report, or a demonstration may all be useful. But none should become the center of the review. The center is the worker/responsibility pair.</w:t>
      </w:r>
    </w:p>
    <w:p>
      <w:pPr>
        <w:pStyle w:val="BodyText"/>
      </w:pPr>
      <w:r>
        <w:t xml:space="preserve">If the proposal cannot name the worker and its ongoing responsibility plainly, it is not ready for a commission decision. It may still be a promising tool, workflow, pilot, or research effort. Those are legitimate things to have. They simply do not carry the same organizational claim.</w:t>
      </w:r>
    </w:p>
    <w:p>
      <w:pPr>
        <w:pStyle w:val="BodyText"/>
      </w:pPr>
      <w:r>
        <w:t xml:space="preserve">The same discipline applies to existing workers. A current runtime, schedule, or dashboard status does not settle whether the worker should continue to own the responsibility. A system can be running while its charter is no longer useful. A system can be paused while its identity and evidence remain worth preserving. A worker can be useful but require narrower authority, a slower execution cadence, a different handoff, or more independent evidence before the organization expands its scope.</w:t>
      </w:r>
    </w:p>
    <w:p>
      <w:pPr>
        <w:pStyle w:val="BodyText"/>
      </w:pPr>
      <w:r>
        <w:t xml:space="preserve">The sponsor is not deciding whether the technology has feelings about its future. The sponsor is deciding what the organization will authorize and own.</w:t>
      </w:r>
    </w:p>
    <w:bookmarkEnd w:id="133"/>
    <w:bookmarkStart w:id="134" w:name="the-incentives-of-overstatement"/>
    <w:p>
      <w:pPr>
        <w:pStyle w:val="Heading2"/>
      </w:pPr>
      <w:r>
        <w:t xml:space="preserve">The incentives of overstatement</w:t>
      </w:r>
    </w:p>
    <w:p>
      <w:pPr>
        <w:pStyle w:val="FirstParagraph"/>
      </w:pPr>
      <w:r>
        <w:t xml:space="preserve">A sponsor review does not happen in a vacuum. It happens in an organization where different people benefit from overstating what a digital worker can do.</w:t>
      </w:r>
    </w:p>
    <w:p>
      <w:pPr>
        <w:pStyle w:val="BodyText"/>
      </w:pPr>
      <w:r>
        <w:t xml:space="preserve">Vendors are incentivized to sell autonomy. A product that requires heavy human supervision is harder to price at a premium than one that promises to replace a workflow entirely. Internal engineering teams are incentivized to demonstrate technical maturity. Building a fully autonomous system is a harder, more prestigious engineering problem than building a human-in-the-loop tool. Business leaders are incentivized to claim capacity creation. They want to show that their investment in AI has fundamentally changed their cost structure, which drives a preference for workers that operate without headcount.</w:t>
      </w:r>
    </w:p>
    <w:p>
      <w:pPr>
        <w:pStyle w:val="BodyText"/>
      </w:pPr>
      <w:r>
        <w:t xml:space="preserve">Even the sponsor is susceptible. It is exciting to sponsor the future. It is tedious to sponsor a constrained, supervised, single-purpose script.</w:t>
      </w:r>
    </w:p>
    <w:p>
      <w:pPr>
        <w:pStyle w:val="BodyText"/>
      </w:pPr>
      <w:r>
        <w:t xml:space="preserve">These incentives converge to push proposals toward the illusion of full autonomy. The one-page review catches this by refusing to evaluate the technology directly. It evaluates the accountability. When a vendor promises full autonomy, the review asks who will own the outcome when the system hallucinates. When an engineering team shows a flawless autonomous demo, the review asks what the authorized stop path is when the inputs change. By shifting the conversation from capability to commissioning, the sponsor breaks the momentum of enthusiasm and forces the organization to look at the risk it is actually taking.</w:t>
      </w:r>
    </w:p>
    <w:bookmarkEnd w:id="134"/>
    <w:bookmarkStart w:id="135" w:name="the-one-page-decision-review"/>
    <w:p>
      <w:pPr>
        <w:pStyle w:val="Heading2"/>
      </w:pPr>
      <w:r>
        <w:t xml:space="preserve">The one-page decision review</w:t>
      </w:r>
    </w:p>
    <w:p>
      <w:pPr>
        <w:pStyle w:val="FirstParagraph"/>
      </w:pPr>
      <w:r>
        <w:t xml:space="preserve">A useful review fits on one page because the point is not to conceal complexity. The point is to expose the few unresolved questions that actually change the decision.</w:t>
      </w:r>
    </w:p>
    <w:p>
      <w:pPr>
        <w:pStyle w:val="BodyText"/>
      </w:pPr>
      <w:r>
        <w:t xml:space="preserve">The page should include the following fields.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What the sponsor needs to see</w:t>
            </w:r>
          </w:p>
        </w:tc>
      </w:tr>
      <w:tr>
        <w:tc>
          <w:tcPr/>
          <w:p>
            <w:pPr>
              <w:pStyle w:val="Compact"/>
              <w:jc w:val="left"/>
            </w:pPr>
            <w:r>
              <w:t xml:space="preserve">Identity and responsibility</w:t>
            </w:r>
          </w:p>
        </w:tc>
        <w:tc>
          <w:tcPr/>
          <w:p>
            <w:pPr>
              <w:pStyle w:val="Compact"/>
              <w:jc w:val="left"/>
            </w:pPr>
            <w:r>
              <w:t xml:space="preserve">The worker’s stable name, the bounded ongoing responsibility, and what is explicitly out of scope</w:t>
            </w:r>
          </w:p>
        </w:tc>
      </w:tr>
      <w:tr>
        <w:tc>
          <w:tcPr/>
          <w:p>
            <w:pPr>
              <w:pStyle w:val="Compact"/>
              <w:jc w:val="left"/>
            </w:pPr>
            <w:r>
              <w:t xml:space="preserve">Accountable owner</w:t>
            </w:r>
          </w:p>
        </w:tc>
        <w:tc>
          <w:tcPr/>
          <w:p>
            <w:pPr>
              <w:pStyle w:val="Compact"/>
              <w:jc w:val="left"/>
            </w:pPr>
            <w:r>
              <w:t xml:space="preserve">The named person or organizational role answerable for the responsibility, its changes, and consequential decisions</w:t>
            </w:r>
          </w:p>
        </w:tc>
      </w:tr>
      <w:tr>
        <w:tc>
          <w:tcPr/>
          <w:p>
            <w:pPr>
              <w:pStyle w:val="Compact"/>
              <w:jc w:val="left"/>
            </w:pPr>
            <w:r>
              <w:t xml:space="preserve">Current disposition</w:t>
            </w:r>
          </w:p>
        </w:tc>
        <w:tc>
          <w:tcPr/>
          <w:p>
            <w:pPr>
              <w:pStyle w:val="Compact"/>
              <w:jc w:val="left"/>
            </w:pPr>
            <w:r>
              <w:t xml:space="preserve">Whether the worker is proposed, commissioned, constrained, paused, under redesign, retired, or superseded</w:t>
            </w:r>
          </w:p>
        </w:tc>
      </w:tr>
      <w:tr>
        <w:tc>
          <w:tcPr/>
          <w:p>
            <w:pPr>
              <w:pStyle w:val="Compact"/>
              <w:jc w:val="left"/>
            </w:pPr>
            <w:r>
              <w:t xml:space="preserve">Authority</w:t>
            </w:r>
          </w:p>
        </w:tc>
        <w:tc>
          <w:tcPr/>
          <w:p>
            <w:pPr>
              <w:pStyle w:val="Compact"/>
              <w:jc w:val="left"/>
            </w:pPr>
            <w:r>
              <w:t xml:space="preserve">What work the worker may perform; which actions require human approval; where permission, technical access, and release paths differ</w:t>
            </w:r>
          </w:p>
        </w:tc>
      </w:tr>
      <w:tr>
        <w:tc>
          <w:tcPr/>
          <w:p>
            <w:pPr>
              <w:pStyle w:val="Compact"/>
              <w:jc w:val="left"/>
            </w:pPr>
            <w:r>
              <w:t xml:space="preserve">Execution policy</w:t>
            </w:r>
          </w:p>
        </w:tc>
        <w:tc>
          <w:tcPr/>
          <w:p>
            <w:pPr>
              <w:pStyle w:val="Compact"/>
              <w:jc w:val="left"/>
            </w:pPr>
            <w:r>
              <w:t xml:space="preserve">Whether work is interactive, scheduled, event-driven, supervised, or otherwise limited; the current runtime or harness binding belongs here, not in identity</w:t>
            </w:r>
          </w:p>
        </w:tc>
      </w:tr>
      <w:tr>
        <w:tc>
          <w:tcPr/>
          <w:p>
            <w:pPr>
              <w:pStyle w:val="Compact"/>
              <w:jc w:val="left"/>
            </w:pPr>
            <w:r>
              <w:t xml:space="preserve">Evidence</w:t>
            </w:r>
          </w:p>
        </w:tc>
        <w:tc>
          <w:tcPr/>
          <w:p>
            <w:pPr>
              <w:pStyle w:val="Compact"/>
              <w:jc w:val="left"/>
            </w:pPr>
            <w:r>
              <w:t xml:space="preserve">The outcome evidence, source locators, checks, exceptions, review results, and known limits relevant to this decision</w:t>
            </w:r>
          </w:p>
        </w:tc>
      </w:tr>
      <w:tr>
        <w:tc>
          <w:tcPr/>
          <w:p>
            <w:pPr>
              <w:pStyle w:val="Compact"/>
              <w:jc w:val="left"/>
            </w:pPr>
            <w:r>
              <w:t xml:space="preserve">Handoffs</w:t>
            </w:r>
          </w:p>
        </w:tc>
        <w:tc>
          <w:tcPr/>
          <w:p>
            <w:pPr>
              <w:pStyle w:val="Compact"/>
              <w:jc w:val="left"/>
            </w:pPr>
            <w:r>
              <w:t xml:space="preserve">What must be transferred, to whom, in what form, and how acknowledgement or failure is recorded</w:t>
            </w:r>
          </w:p>
        </w:tc>
      </w:tr>
      <w:tr>
        <w:tc>
          <w:tcPr/>
          <w:p>
            <w:pPr>
              <w:pStyle w:val="Compact"/>
              <w:jc w:val="left"/>
            </w:pPr>
            <w:r>
              <w:t xml:space="preserve">Evaluation</w:t>
            </w:r>
          </w:p>
        </w:tc>
        <w:tc>
          <w:tcPr/>
          <w:p>
            <w:pPr>
              <w:pStyle w:val="Compact"/>
              <w:jc w:val="left"/>
            </w:pPr>
            <w:r>
              <w:t xml:space="preserve">How the organization will assess continuing stewardship rather than one completed task</w:t>
            </w:r>
          </w:p>
        </w:tc>
      </w:tr>
      <w:tr>
        <w:tc>
          <w:tcPr/>
          <w:p>
            <w:pPr>
              <w:pStyle w:val="Compact"/>
              <w:jc w:val="left"/>
            </w:pPr>
            <w:r>
              <w:t xml:space="preserve">Stop and retire path</w:t>
            </w:r>
          </w:p>
        </w:tc>
        <w:tc>
          <w:tcPr/>
          <w:p>
            <w:pPr>
              <w:pStyle w:val="Compact"/>
              <w:jc w:val="left"/>
            </w:pPr>
            <w:r>
              <w:t xml:space="preserve">What triggers intervention, who can pause execution, how evidence is preserved, and how responsibility ends or moves</w:t>
            </w:r>
          </w:p>
        </w:tc>
      </w:tr>
      <w:tr>
        <w:tc>
          <w:tcPr/>
          <w:p>
            <w:pPr>
              <w:pStyle w:val="Compact"/>
              <w:jc w:val="left"/>
            </w:pPr>
            <w:r>
              <w:t xml:space="preserve">Unresolved gaps</w:t>
            </w:r>
          </w:p>
        </w:tc>
        <w:tc>
          <w:tcPr/>
          <w:p>
            <w:pPr>
              <w:pStyle w:val="Compact"/>
              <w:jc w:val="left"/>
            </w:pPr>
            <w:r>
              <w:t xml:space="preserve">What is unknown, stale, contradictory, awaiting validation, or outside the current evidence path</w:t>
            </w:r>
          </w:p>
        </w:tc>
      </w:tr>
      <w:tr>
        <w:tc>
          <w:tcPr/>
          <w:p>
            <w:pPr>
              <w:pStyle w:val="Compact"/>
              <w:jc w:val="left"/>
            </w:pPr>
            <w:r>
              <w:t xml:space="preserve">Requested disposition</w:t>
            </w:r>
          </w:p>
        </w:tc>
        <w:tc>
          <w:tcPr/>
          <w:p>
            <w:pPr>
              <w:pStyle w:val="Compact"/>
              <w:jc w:val="left"/>
            </w:pPr>
            <w:r>
              <w:t xml:space="preserve">The exact decision the sponsor is being asked to make now, including any conditions or follow-up review</w:t>
            </w:r>
          </w:p>
        </w:tc>
      </w:tr>
    </w:tbl>
    <w:p>
      <w:pPr>
        <w:pStyle w:val="BodyText"/>
      </w:pPr>
      <w:r>
        <w:t xml:space="preserve">The seven-field preview in Chapter 1 is the front door to this fuller page: identity/responsibility stays identity and responsibility; owner, authority, evidence, and gaps expand into their dedicated fields; execution/current condition becomes execution policy plus disposition; handoffs/stop path becomes handoffs plus stop and retire path; and the requested decision becomes the final disposition.</w:t>
      </w:r>
    </w:p>
    <w:p>
      <w:pPr>
        <w:pStyle w:val="BodyText"/>
      </w:pPr>
      <w:r>
        <w:t xml:space="preserve">Treat this as a proportional template, not a universal form. Different responsibilities need different evidence and different levels of review. A worker that drafts a supervised internal brief should not be reviewed as though it approves transfers or changes regulated records. A worker that can affect a consequential system should not inherit confidence from a harmless writing demonstration.</w:t>
      </w:r>
    </w:p>
    <w:p>
      <w:pPr>
        <w:pStyle w:val="BodyText"/>
      </w:pPr>
      <w:r>
        <w:t xml:space="preserve">The point is proportionality, not sameness.</w:t>
      </w:r>
    </w:p>
    <w:p>
      <w:pPr>
        <w:pStyle w:val="BodyText"/>
      </w:pPr>
      <w:r>
        <w:t xml:space="preserve">The sponsor should also resist the temptation to score every field and add the results together. A high score for output quality cannot compensate for a missing accountable owner. A low current capacity estimate does not establish that authority is appropriate. A healthy runtime does not erase an absent stop path.</w:t>
      </w:r>
    </w:p>
    <w:p>
      <w:pPr>
        <w:pStyle w:val="BodyText"/>
      </w:pPr>
      <w:r>
        <w:t xml:space="preserve">The dimensions are separate because the decisions are separate.</w:t>
      </w:r>
    </w:p>
    <w:bookmarkEnd w:id="135"/>
    <w:bookmarkStart w:id="136" w:name="ask-whether-the-responsibility-is-real"/>
    <w:p>
      <w:pPr>
        <w:pStyle w:val="Heading2"/>
      </w:pPr>
      <w:r>
        <w:t xml:space="preserve">Ask whether the responsibility is real</w:t>
      </w:r>
    </w:p>
    <w:p>
      <w:pPr>
        <w:pStyle w:val="FirstParagraph"/>
      </w:pPr>
      <w:r>
        <w:t xml:space="preserve">The first review question is not technical:</w:t>
      </w:r>
    </w:p>
    <w:p>
      <w:pPr>
        <w:pStyle w:val="BlockText"/>
      </w:pPr>
      <w:r>
        <w:t xml:space="preserve">What ongoing condition is this worker being asked to maintain?</w:t>
      </w:r>
    </w:p>
    <w:p>
      <w:pPr>
        <w:pStyle w:val="FirstParagraph"/>
      </w:pPr>
      <w:r>
        <w:t xml:space="preserve">“</w:t>
      </w:r>
      <w:r>
        <w:t xml:space="preserve">Produce a weekly report</w:t>
      </w:r>
      <w:r>
        <w:t xml:space="preserve">”</w:t>
      </w:r>
      <w:r>
        <w:t xml:space="preserve"> </w:t>
      </w:r>
      <w:r>
        <w:t xml:space="preserve">may be a task.</w:t>
      </w:r>
      <w:r>
        <w:t xml:space="preserve"> </w:t>
      </w:r>
      <w:r>
        <w:t xml:space="preserve">“</w:t>
      </w:r>
      <w:r>
        <w:t xml:space="preserve">Maintain an evidence-backed view of a defined operating condition and hand it to the accountable owner at a stated cadence</w:t>
      </w:r>
      <w:r>
        <w:t xml:space="preserve">”</w:t>
      </w:r>
      <w:r>
        <w:t xml:space="preserve"> </w:t>
      </w:r>
      <w:r>
        <w:t xml:space="preserve">is closer to a responsibility. The difference is continuity. A responsibility persists through changed inputs, exceptions, missed handoffs, updated policies, and the need to decide when the work should no longer continue.</w:t>
      </w:r>
    </w:p>
    <w:p>
      <w:pPr>
        <w:pStyle w:val="BodyText"/>
      </w:pPr>
      <w:r>
        <w:t xml:space="preserve">The sponsor should require the proposal to name both the invariant and the boundary.</w:t>
      </w:r>
    </w:p>
    <w:p>
      <w:pPr>
        <w:pStyle w:val="BodyText"/>
      </w:pPr>
      <w:r>
        <w:t xml:space="preserve">For example, a worker might be asked to maintain a bounded research record for a specific portfolio. That does not authorize it to redefine the portfolio, make strategic investment decisions, or act on evidence outside the stated source set. It gives the sponsor a way to ask whether the worker is maintaining the intended condition, rather than merely producing a series of plausible documents.</w:t>
      </w:r>
    </w:p>
    <w:p>
      <w:pPr>
        <w:pStyle w:val="BodyText"/>
      </w:pPr>
      <w:r>
        <w:t xml:space="preserve">A vague responsibility is usually a signal that the proposal is trying to obtain authority before it has earned clarity.</w:t>
      </w:r>
      <w:r>
        <w:t xml:space="preserve"> </w:t>
      </w:r>
      <w:r>
        <w:t xml:space="preserve">“</w:t>
      </w:r>
      <w:r>
        <w:t xml:space="preserve">Support the team,</w:t>
      </w:r>
      <w:r>
        <w:t xml:space="preserve">”</w:t>
      </w:r>
      <w:r>
        <w:t xml:space="preserve"> </w:t>
      </w:r>
      <w:r>
        <w:t xml:space="preserve">“</w:t>
      </w:r>
      <w:r>
        <w:t xml:space="preserve">improve productivity,</w:t>
      </w:r>
      <w:r>
        <w:t xml:space="preserve">”</w:t>
      </w:r>
      <w:r>
        <w:t xml:space="preserve"> </w:t>
      </w:r>
      <w:r>
        <w:t xml:space="preserve">and</w:t>
      </w:r>
      <w:r>
        <w:t xml:space="preserve"> </w:t>
      </w:r>
      <w:r>
        <w:t xml:space="preserve">“</w:t>
      </w:r>
      <w:r>
        <w:t xml:space="preserve">operate autonomously</w:t>
      </w:r>
      <w:r>
        <w:t xml:space="preserve">”</w:t>
      </w:r>
      <w:r>
        <w:t xml:space="preserve"> </w:t>
      </w:r>
      <w:r>
        <w:t xml:space="preserve">may describe ambition. They do not define a commission.</w:t>
      </w:r>
    </w:p>
    <w:p>
      <w:pPr>
        <w:pStyle w:val="BodyText"/>
      </w:pPr>
      <w:r>
        <w:t xml:space="preserve">Returning such a proposal is not a rejection of the underlying capability. It is a request to name the work honestly.</w:t>
      </w:r>
    </w:p>
    <w:bookmarkEnd w:id="136"/>
    <w:bookmarkStart w:id="137" w:name="X09e0eb0088039fc8a5fa8b42e742f655f47626f"/>
    <w:p>
      <w:pPr>
        <w:pStyle w:val="Heading2"/>
      </w:pPr>
      <w:r>
        <w:t xml:space="preserve">Name the owner before discussing autonomy</w:t>
      </w:r>
    </w:p>
    <w:p>
      <w:pPr>
        <w:pStyle w:val="FirstParagraph"/>
      </w:pPr>
      <w:r>
        <w:t xml:space="preserve">A digital worker may execute, propose, test, preserve evidence, and escalate. It does not become the accountable party.</w:t>
      </w:r>
    </w:p>
    <w:p>
      <w:pPr>
        <w:pStyle w:val="BodyText"/>
      </w:pPr>
      <w:r>
        <w:t xml:space="preserve">The review must identify the person or organizational role that remains answerable for the responsibility. This owner is not merely the person who installed a tool or watched a demonstration. The owner receives the consequences when the worker’s work is wrong, incomplete, stale, unauthorized, or no longer needed. The owner also has a role in approving material changes to the commission.</w:t>
      </w:r>
    </w:p>
    <w:p>
      <w:pPr>
        <w:pStyle w:val="BodyText"/>
      </w:pPr>
      <w:r>
        <w:t xml:space="preserve">That accountability needs a practical record.</w:t>
      </w:r>
    </w:p>
    <w:p>
      <w:pPr>
        <w:pStyle w:val="BodyText"/>
      </w:pPr>
      <w:r>
        <w:t xml:space="preserve">The sponsor should be able to ask:</w:t>
      </w:r>
    </w:p>
    <w:p>
      <w:pPr>
        <w:pStyle w:val="Compact"/>
        <w:numPr>
          <w:ilvl w:val="0"/>
          <w:numId w:val="1030"/>
        </w:numPr>
      </w:pPr>
      <w:r>
        <w:t xml:space="preserve">Who owns the outcome this worker is meant to maintain?</w:t>
      </w:r>
    </w:p>
    <w:p>
      <w:pPr>
        <w:pStyle w:val="Compact"/>
        <w:numPr>
          <w:ilvl w:val="0"/>
          <w:numId w:val="1030"/>
        </w:numPr>
      </w:pPr>
      <w:r>
        <w:t xml:space="preserve">Who may approve a change in scope, authority, or execution policy?</w:t>
      </w:r>
    </w:p>
    <w:p>
      <w:pPr>
        <w:pStyle w:val="Compact"/>
        <w:numPr>
          <w:ilvl w:val="0"/>
          <w:numId w:val="1030"/>
        </w:numPr>
      </w:pPr>
      <w:r>
        <w:t xml:space="preserve">Who receives a failed handoff or an unresolved exception?</w:t>
      </w:r>
    </w:p>
    <w:p>
      <w:pPr>
        <w:pStyle w:val="Compact"/>
        <w:numPr>
          <w:ilvl w:val="0"/>
          <w:numId w:val="1030"/>
        </w:numPr>
      </w:pPr>
      <w:r>
        <w:t xml:space="preserve">Who can pause the work when the evidence is insufficient?</w:t>
      </w:r>
    </w:p>
    <w:p>
      <w:pPr>
        <w:pStyle w:val="Compact"/>
        <w:numPr>
          <w:ilvl w:val="0"/>
          <w:numId w:val="1030"/>
        </w:numPr>
      </w:pPr>
      <w:r>
        <w:t xml:space="preserve">Who decides that the responsibility should be retired or moved elsewhere?</w:t>
      </w:r>
    </w:p>
    <w:p>
      <w:pPr>
        <w:pStyle w:val="FirstParagraph"/>
      </w:pPr>
      <w:r>
        <w:t xml:space="preserve">An offline human decision in my estate could change the organization’s operational attention once it was reported and reconciled through the appropriate record. The system could preserve the evidence of that decision and surface its consequence. It could not claim the authority that made the decision valid. That is the right boundary.</w:t>
      </w:r>
    </w:p>
    <w:p>
      <w:pPr>
        <w:pStyle w:val="BodyText"/>
      </w:pPr>
      <w:r>
        <w:t xml:space="preserve">The sponsor’s review should make human direction more inspectable, not less visible.</w:t>
      </w:r>
    </w:p>
    <w:bookmarkEnd w:id="137"/>
    <w:bookmarkStart w:id="138" w:name="treat-authority-as-a-decision-boundary"/>
    <w:p>
      <w:pPr>
        <w:pStyle w:val="Heading2"/>
      </w:pPr>
      <w:r>
        <w:t xml:space="preserve">Treat authority as a decision boundary</w:t>
      </w:r>
    </w:p>
    <w:p>
      <w:pPr>
        <w:pStyle w:val="FirstParagraph"/>
      </w:pPr>
      <w:r>
        <w:t xml:space="preserve">Authority is not the same as access.</w:t>
      </w:r>
    </w:p>
    <w:p>
      <w:pPr>
        <w:pStyle w:val="BodyText"/>
      </w:pPr>
      <w:r>
        <w:t xml:space="preserve">A worker may technically reach a tool while lacking permission to take a particular action. Conversely, an owner may authorize a bounded action while the current transport or integration cannot safely release the needed evidence. Those are different conditions and should produce different responses.</w:t>
      </w:r>
    </w:p>
    <w:p>
      <w:pPr>
        <w:pStyle w:val="BodyText"/>
      </w:pPr>
      <w:r>
        <w:t xml:space="preserve">The authority section of the review should state:</w:t>
      </w:r>
    </w:p>
    <w:p>
      <w:pPr>
        <w:pStyle w:val="Compact"/>
        <w:numPr>
          <w:ilvl w:val="0"/>
          <w:numId w:val="1031"/>
        </w:numPr>
      </w:pPr>
      <w:r>
        <w:t xml:space="preserve">What the worker may read, write, propose, trigger, or hand off.</w:t>
      </w:r>
    </w:p>
    <w:p>
      <w:pPr>
        <w:pStyle w:val="Compact"/>
        <w:numPr>
          <w:ilvl w:val="0"/>
          <w:numId w:val="1031"/>
        </w:numPr>
      </w:pPr>
      <w:r>
        <w:t xml:space="preserve">What requires a named human approval.</w:t>
      </w:r>
    </w:p>
    <w:p>
      <w:pPr>
        <w:pStyle w:val="Compact"/>
        <w:numPr>
          <w:ilvl w:val="0"/>
          <w:numId w:val="1031"/>
        </w:numPr>
      </w:pPr>
      <w:r>
        <w:t xml:space="preserve">What the worker must not do, even if a technical path exists.</w:t>
      </w:r>
    </w:p>
    <w:p>
      <w:pPr>
        <w:pStyle w:val="Compact"/>
        <w:numPr>
          <w:ilvl w:val="0"/>
          <w:numId w:val="1031"/>
        </w:numPr>
      </w:pPr>
      <w:r>
        <w:t xml:space="preserve">Which source owner controls the underlying information or action.</w:t>
      </w:r>
    </w:p>
    <w:p>
      <w:pPr>
        <w:pStyle w:val="Compact"/>
        <w:numPr>
          <w:ilvl w:val="0"/>
          <w:numId w:val="1031"/>
        </w:numPr>
      </w:pPr>
      <w:r>
        <w:t xml:space="preserve">What evidence will show whether the worker stayed inside its granted boundary.</w:t>
      </w:r>
    </w:p>
    <w:p>
      <w:pPr>
        <w:pStyle w:val="FirstParagraph"/>
      </w:pPr>
      <w:r>
        <w:t xml:space="preserve">A local calendar and mail case makes the distinction concrete. A requested grant remained read-bounded and required my approval, while the available transport path still could not safely release the source evidence needed for the proposed work. The useful conclusion was not that governance had failed because the tool did not work. It was that permission, source control, and technical release were separate facts.</w:t>
      </w:r>
    </w:p>
    <w:p>
      <w:pPr>
        <w:pStyle w:val="BodyText"/>
      </w:pPr>
      <w:r>
        <w:t xml:space="preserve">A review that records only</w:t>
      </w:r>
      <w:r>
        <w:t xml:space="preserve"> </w:t>
      </w:r>
      <w:r>
        <w:t xml:space="preserve">“</w:t>
      </w:r>
      <w:r>
        <w:t xml:space="preserve">integration connected</w:t>
      </w:r>
      <w:r>
        <w:t xml:space="preserve">”</w:t>
      </w:r>
      <w:r>
        <w:t xml:space="preserve"> </w:t>
      </w:r>
      <w:r>
        <w:t xml:space="preserve">will miss that distinction. A review that records the authority, source owner, release path, and remaining gap gives the sponsor an actionable choice: constrain the commission, repair the path, or refuse the scope until the conditions are real.</w:t>
      </w:r>
    </w:p>
    <w:bookmarkEnd w:id="138"/>
    <w:bookmarkStart w:id="139" w:name="require-evidence-that-fits-continuation"/>
    <w:p>
      <w:pPr>
        <w:pStyle w:val="Heading2"/>
      </w:pPr>
      <w:r>
        <w:t xml:space="preserve">Require evidence that fits continuation</w:t>
      </w:r>
    </w:p>
    <w:p>
      <w:pPr>
        <w:pStyle w:val="FirstParagraph"/>
      </w:pPr>
      <w:r>
        <w:t xml:space="preserve">A completed task is evidence of something. It may show that a model, harness, prompt, workflow, or human-supervised arrangement can produce a result under stated conditions.</w:t>
      </w:r>
    </w:p>
    <w:p>
      <w:pPr>
        <w:pStyle w:val="BodyText"/>
      </w:pPr>
      <w:r>
        <w:t xml:space="preserve">It is not automatically evidence that a worker should continue to own an ongoing responsibility.</w:t>
      </w:r>
    </w:p>
    <w:p>
      <w:pPr>
        <w:pStyle w:val="BodyText"/>
      </w:pPr>
      <w:r>
        <w:t xml:space="preserve">The sponsor should review seven questions:</w:t>
      </w:r>
    </w:p>
    <w:p>
      <w:pPr>
        <w:pStyle w:val="Compact"/>
        <w:numPr>
          <w:ilvl w:val="0"/>
          <w:numId w:val="1032"/>
        </w:numPr>
      </w:pPr>
      <w:r>
        <w:t xml:space="preserve">Is the recurring outcome being maintained, not merely reported?</w:t>
      </w:r>
    </w:p>
    <w:p>
      <w:pPr>
        <w:pStyle w:val="Compact"/>
        <w:numPr>
          <w:ilvl w:val="0"/>
          <w:numId w:val="1032"/>
        </w:numPr>
      </w:pPr>
      <w:r>
        <w:t xml:space="preserve">Did work remain within the granted authority and approval gates?</w:t>
      </w:r>
    </w:p>
    <w:p>
      <w:pPr>
        <w:pStyle w:val="Compact"/>
        <w:numPr>
          <w:ilvl w:val="0"/>
          <w:numId w:val="1032"/>
        </w:numPr>
      </w:pPr>
      <w:r>
        <w:t xml:space="preserve">Can a reviewer reconstruct the important claims, actions, and exceptions?</w:t>
      </w:r>
    </w:p>
    <w:p>
      <w:pPr>
        <w:pStyle w:val="Compact"/>
        <w:numPr>
          <w:ilvl w:val="0"/>
          <w:numId w:val="1032"/>
        </w:numPr>
      </w:pPr>
      <w:r>
        <w:t xml:space="preserve">Did handoffs reach the intended owner or system without dropped commitments?</w:t>
      </w:r>
    </w:p>
    <w:p>
      <w:pPr>
        <w:pStyle w:val="Compact"/>
        <w:numPr>
          <w:ilvl w:val="0"/>
          <w:numId w:val="1032"/>
        </w:numPr>
      </w:pPr>
      <w:r>
        <w:t xml:space="preserve">How much human attention was required, and did escalation occur in time?</w:t>
      </w:r>
    </w:p>
    <w:p>
      <w:pPr>
        <w:pStyle w:val="Compact"/>
        <w:numPr>
          <w:ilvl w:val="0"/>
          <w:numId w:val="1032"/>
        </w:numPr>
      </w:pPr>
      <w:r>
        <w:t xml:space="preserve">Does the current lifecycle posture still fit the responsibility?</w:t>
      </w:r>
    </w:p>
    <w:p>
      <w:pPr>
        <w:pStyle w:val="Compact"/>
        <w:numPr>
          <w:ilvl w:val="0"/>
          <w:numId w:val="1032"/>
        </w:numPr>
      </w:pPr>
      <w:r>
        <w:t xml:space="preserve">Is the use of attention, computation, and operating capacity visible enough to manage?</w:t>
      </w:r>
    </w:p>
    <w:p>
      <w:pPr>
        <w:pStyle w:val="FirstParagraph"/>
      </w:pPr>
      <w:r>
        <w:t xml:space="preserve">These questions do not form a maturity ladder. They are separate lines of inquiry.</w:t>
      </w:r>
    </w:p>
    <w:p>
      <w:pPr>
        <w:pStyle w:val="BodyText"/>
      </w:pPr>
      <w:r>
        <w:t xml:space="preserve">A worker can produce useful output while imposing hidden intervention burden. It can remain inside authority while failing to hand off a decision in a usable form. It can have strong current task evidence but inadequate evidence of continuity. It can be technically healthy while the responsibility itself has become unnecessary.</w:t>
      </w:r>
    </w:p>
    <w:p>
      <w:pPr>
        <w:pStyle w:val="BodyText"/>
      </w:pPr>
      <w:r>
        <w:t xml:space="preserve">The sponsor’s job is not to demand certainty where no organization can have it. The job is to require that known limits are carried into the decision.</w:t>
      </w:r>
    </w:p>
    <w:p>
      <w:pPr>
        <w:pStyle w:val="BodyText"/>
      </w:pPr>
      <w:r>
        <w:t xml:space="preserve">A useful evidence section therefore says both what supports continuation and what prevents a stronger conclusion. It should distinguish a current owner’s report from an independent check, a historical result from a current condition, and a missing observation from evidence that something does not exist.</w:t>
      </w:r>
    </w:p>
    <w:p>
      <w:pPr>
        <w:pStyle w:val="BodyText"/>
      </w:pPr>
      <w:r>
        <w:t xml:space="preserve">That distinction is often the difference between a controlled pause and a confident mistake.</w:t>
      </w:r>
    </w:p>
    <w:bookmarkEnd w:id="139"/>
    <w:bookmarkStart w:id="140" w:name="make-unresolved-gaps-decision-bearing"/>
    <w:p>
      <w:pPr>
        <w:pStyle w:val="Heading2"/>
      </w:pPr>
      <w:r>
        <w:t xml:space="preserve">Make unresolved gaps decision-bearing</w:t>
      </w:r>
    </w:p>
    <w:p>
      <w:pPr>
        <w:pStyle w:val="FirstParagraph"/>
      </w:pPr>
      <w:r>
        <w:t xml:space="preserve">An unresolved gap is not a defect in the paperwork. It is often the most important field on the page.</w:t>
      </w:r>
    </w:p>
    <w:p>
      <w:pPr>
        <w:pStyle w:val="BodyText"/>
      </w:pPr>
      <w:r>
        <w:t xml:space="preserve">The page should state whether a gap is:</w:t>
      </w:r>
    </w:p>
    <w:p>
      <w:pPr>
        <w:pStyle w:val="Compact"/>
        <w:numPr>
          <w:ilvl w:val="0"/>
          <w:numId w:val="1033"/>
        </w:numPr>
      </w:pPr>
      <w:r>
        <w:t xml:space="preserve">a missing owner or approval;</w:t>
      </w:r>
    </w:p>
    <w:p>
      <w:pPr>
        <w:pStyle w:val="Compact"/>
        <w:numPr>
          <w:ilvl w:val="0"/>
          <w:numId w:val="1033"/>
        </w:numPr>
      </w:pPr>
      <w:r>
        <w:t xml:space="preserve">a source that cannot yet be released through the available path;</w:t>
      </w:r>
    </w:p>
    <w:p>
      <w:pPr>
        <w:pStyle w:val="Compact"/>
        <w:numPr>
          <w:ilvl w:val="0"/>
          <w:numId w:val="1033"/>
        </w:numPr>
      </w:pPr>
      <w:r>
        <w:t xml:space="preserve">evidence that is stale for the requested decision;</w:t>
      </w:r>
    </w:p>
    <w:p>
      <w:pPr>
        <w:pStyle w:val="Compact"/>
        <w:numPr>
          <w:ilvl w:val="0"/>
          <w:numId w:val="1033"/>
        </w:numPr>
      </w:pPr>
      <w:r>
        <w:t xml:space="preserve">an unacknowledged handoff;</w:t>
      </w:r>
    </w:p>
    <w:p>
      <w:pPr>
        <w:pStyle w:val="Compact"/>
        <w:numPr>
          <w:ilvl w:val="0"/>
          <w:numId w:val="1033"/>
        </w:numPr>
      </w:pPr>
      <w:r>
        <w:t xml:space="preserve">a runtime condition that has not been reconciled with the relevant owner;</w:t>
      </w:r>
    </w:p>
    <w:p>
      <w:pPr>
        <w:pStyle w:val="Compact"/>
        <w:numPr>
          <w:ilvl w:val="0"/>
          <w:numId w:val="1033"/>
        </w:numPr>
      </w:pPr>
      <w:r>
        <w:t xml:space="preserve">an evaluation that measured task completion but not continuing stewardship;</w:t>
      </w:r>
    </w:p>
    <w:p>
      <w:pPr>
        <w:pStyle w:val="Compact"/>
        <w:numPr>
          <w:ilvl w:val="0"/>
          <w:numId w:val="1033"/>
        </w:numPr>
      </w:pPr>
      <w:r>
        <w:t xml:space="preserve">a lifecycle record that does not yet reflect the intended disposition; or</w:t>
      </w:r>
    </w:p>
    <w:p>
      <w:pPr>
        <w:pStyle w:val="Compact"/>
        <w:numPr>
          <w:ilvl w:val="0"/>
          <w:numId w:val="1033"/>
        </w:numPr>
      </w:pPr>
      <w:r>
        <w:t xml:space="preserve">a claim that sounds plausible but remains outside the available evidence.</w:t>
      </w:r>
    </w:p>
    <w:p>
      <w:pPr>
        <w:pStyle w:val="FirstParagraph"/>
      </w:pPr>
      <w:r>
        <w:t xml:space="preserve">The sponsor then decides whether the gap is tolerable under a narrower, supervised commission or whether it blocks approval entirely.</w:t>
      </w:r>
    </w:p>
    <w:p>
      <w:pPr>
        <w:pStyle w:val="BodyText"/>
      </w:pPr>
      <w:r>
        <w:t xml:space="preserve">This approach prevents two common errors.</w:t>
      </w:r>
    </w:p>
    <w:p>
      <w:pPr>
        <w:pStyle w:val="BodyText"/>
      </w:pPr>
      <w:r>
        <w:t xml:space="preserve">The first is pretending that a polished review has removed the uncertainty. It has not. The review may have made the uncertainty visible, which is more valuable.</w:t>
      </w:r>
    </w:p>
    <w:p>
      <w:pPr>
        <w:pStyle w:val="BodyText"/>
      </w:pPr>
      <w:r>
        <w:t xml:space="preserve">The second is treating every unknown as a reason to stop all work. That is also too simple. Some unknowns can be bounded by reducing scope, requiring human approval, running interactively, preserving evidence, or scheduling a specific re-review. Others make a commission indefensible until repaired.</w:t>
      </w:r>
    </w:p>
    <w:p>
      <w:pPr>
        <w:pStyle w:val="BodyText"/>
      </w:pPr>
      <w:r>
        <w:t xml:space="preserve">The decision should state which kind of gap it is.</w:t>
      </w:r>
    </w:p>
    <w:bookmarkEnd w:id="140"/>
    <w:bookmarkStart w:id="148" w:name="choose-a-disposition-not-a-verdict"/>
    <w:p>
      <w:pPr>
        <w:pStyle w:val="Heading2"/>
      </w:pPr>
      <w:r>
        <w:t xml:space="preserve">Choose a disposition, not a verdict</w:t>
      </w:r>
    </w:p>
    <w:p>
      <w:pPr>
        <w:pStyle w:val="FirstParagraph"/>
      </w:pPr>
      <w:r>
        <w:t xml:space="preserve">A sponsor does not need to label a worker</w:t>
      </w:r>
      <w:r>
        <w:t xml:space="preserve"> </w:t>
      </w:r>
      <w:r>
        <w:t xml:space="preserve">“</w:t>
      </w:r>
      <w:r>
        <w:t xml:space="preserve">good</w:t>
      </w:r>
      <w:r>
        <w:t xml:space="preserve">”</w:t>
      </w:r>
      <w:r>
        <w:t xml:space="preserve"> </w:t>
      </w:r>
      <w:r>
        <w:t xml:space="preserve">or</w:t>
      </w:r>
      <w:r>
        <w:t xml:space="preserve"> </w:t>
      </w:r>
      <w:r>
        <w:t xml:space="preserve">“</w:t>
      </w:r>
      <w:r>
        <w:t xml:space="preserve">bad.</w:t>
      </w:r>
      <w:r>
        <w:t xml:space="preserve">”</w:t>
      </w:r>
      <w:r>
        <w:t xml:space="preserve"> </w:t>
      </w:r>
      <w:r>
        <w:t xml:space="preserve">The sponsor needs to select the next organizational posture.</w:t>
      </w:r>
    </w:p>
    <w:bookmarkStart w:id="141" w:name="approve-or-continue"/>
    <w:p>
      <w:pPr>
        <w:pStyle w:val="Heading3"/>
      </w:pPr>
      <w:r>
        <w:t xml:space="preserve">Approve or continue</w:t>
      </w:r>
    </w:p>
    <w:p>
      <w:pPr>
        <w:pStyle w:val="FirstParagraph"/>
      </w:pPr>
      <w:r>
        <w:t xml:space="preserve">Approve a new commission, or continue an existing one, when the worker/responsibility pair is named, an accountable owner is clear, authority is bounded, evidence supports the stated scope, and the organization can pause or change the work without losing track of what happened.</w:t>
      </w:r>
    </w:p>
    <w:p>
      <w:pPr>
        <w:pStyle w:val="BodyText"/>
      </w:pPr>
      <w:r>
        <w:t xml:space="preserve">Approval is a decision about the current responsibility under current conditions, not a declaration that the worker is universally safe or permanently valuable.</w:t>
      </w:r>
    </w:p>
    <w:p>
      <w:pPr>
        <w:pStyle w:val="BodyText"/>
      </w:pPr>
      <w:r>
        <w:t xml:space="preserve">A continuation decision should record when it will be reviewed again and what evidence could change it.</w:t>
      </w:r>
    </w:p>
    <w:bookmarkEnd w:id="141"/>
    <w:bookmarkStart w:id="142" w:name="return-for-clarification"/>
    <w:p>
      <w:pPr>
        <w:pStyle w:val="Heading3"/>
      </w:pPr>
      <w:r>
        <w:t xml:space="preserve">Return for clarification</w:t>
      </w:r>
    </w:p>
    <w:p>
      <w:pPr>
        <w:pStyle w:val="FirstParagraph"/>
      </w:pPr>
      <w:r>
        <w:t xml:space="preserve">“</w:t>
      </w:r>
      <w:r>
        <w:t xml:space="preserve">Return for clarification</w:t>
      </w:r>
      <w:r>
        <w:t xml:space="preserve">”</w:t>
      </w:r>
      <w:r>
        <w:t xml:space="preserve"> </w:t>
      </w:r>
      <w:r>
        <w:t xml:space="preserve">is the precise form of defer used in the sponsor’s record: the proposal may be promising, but a required field or decision remains too vague to approve honestly.</w:t>
      </w:r>
    </w:p>
    <w:p>
      <w:pPr>
        <w:pStyle w:val="BodyText"/>
      </w:pPr>
      <w:r>
        <w:t xml:space="preserve">Return a proposal when its responsibility, owner, authority, evidence, or stop path is too vague to review. This is often the correct response to an impressive demonstration attached to an incomplete operating record.</w:t>
      </w:r>
    </w:p>
    <w:p>
      <w:pPr>
        <w:pStyle w:val="BodyText"/>
      </w:pPr>
      <w:r>
        <w:t xml:space="preserve">The sponsor should return the specific missing decision, not merely request</w:t>
      </w:r>
      <w:r>
        <w:t xml:space="preserve"> </w:t>
      </w:r>
      <w:r>
        <w:t xml:space="preserve">“</w:t>
      </w:r>
      <w:r>
        <w:t xml:space="preserve">more governance.</w:t>
      </w:r>
      <w:r>
        <w:t xml:space="preserve">”</w:t>
      </w:r>
      <w:r>
        <w:t xml:space="preserve"> </w:t>
      </w:r>
      <w:r>
        <w:t xml:space="preserve">Ask for the named owner. Ask for the evidence threshold. Ask for the approved handoff. Ask what happens when the worker is paused. Vague feedback reproduces vague proposals.</w:t>
      </w:r>
    </w:p>
    <w:bookmarkEnd w:id="142"/>
    <w:bookmarkStart w:id="143" w:name="constrain"/>
    <w:p>
      <w:pPr>
        <w:pStyle w:val="Heading3"/>
      </w:pPr>
      <w:r>
        <w:t xml:space="preserve">Constrain</w:t>
      </w:r>
    </w:p>
    <w:p>
      <w:pPr>
        <w:pStyle w:val="FirstParagraph"/>
      </w:pPr>
      <w:r>
        <w:t xml:space="preserve">Constrain a worker when useful work exists but the current boundary is too broad. The sponsor may narrow the source set, execution policy, authority, cadence, handoff destination, or required approval path.</w:t>
      </w:r>
    </w:p>
    <w:p>
      <w:pPr>
        <w:pStyle w:val="BodyText"/>
      </w:pPr>
      <w:r>
        <w:t xml:space="preserve">A constraint can preserve value while the organization repairs an evidence gap. It is not a ceremonial warning label. It changes what the worker is permitted to do now.</w:t>
      </w:r>
    </w:p>
    <w:p>
      <w:pPr>
        <w:pStyle w:val="BodyText"/>
      </w:pPr>
      <w:r>
        <w:t xml:space="preserve">A local route decision offers an example. A model route was adopted for scoped workloads after local testing, then quota pressure required a return to a different route. The commission must include a reversible operating constraint when capacity conditions change.</w:t>
      </w:r>
    </w:p>
    <w:bookmarkEnd w:id="143"/>
    <w:bookmarkStart w:id="144" w:name="pause"/>
    <w:p>
      <w:pPr>
        <w:pStyle w:val="Heading3"/>
      </w:pPr>
      <w:r>
        <w:t xml:space="preserve">Pause</w:t>
      </w:r>
    </w:p>
    <w:p>
      <w:pPr>
        <w:pStyle w:val="FirstParagraph"/>
      </w:pPr>
      <w:r>
        <w:t xml:space="preserve">Pause execution when the organization needs to stop work without pretending that the identity, evidence, or responsibility has disappeared.</w:t>
      </w:r>
    </w:p>
    <w:p>
      <w:pPr>
        <w:pStyle w:val="BodyText"/>
      </w:pPr>
      <w:r>
        <w:t xml:space="preserve">A pause may follow a missing approval, a source-access problem, a changed operating need, an unresolved runtime condition, or a repair that requires human intervention. The record should preserve why the pause occurred, what evidence existed at the time, who may authorize resumption, and what must be true before it resumes.</w:t>
      </w:r>
    </w:p>
    <w:p>
      <w:pPr>
        <w:pStyle w:val="BodyText"/>
      </w:pPr>
      <w:r>
        <w:t xml:space="preserve">Pause is not necessarily failure. It is often evidence that the organization can intervene without deleting the history needed to understand the decision later.</w:t>
      </w:r>
    </w:p>
    <w:bookmarkEnd w:id="144"/>
    <w:bookmarkStart w:id="145" w:name="redesign"/>
    <w:p>
      <w:pPr>
        <w:pStyle w:val="Heading3"/>
      </w:pPr>
      <w:r>
        <w:t xml:space="preserve">Redesign</w:t>
      </w:r>
    </w:p>
    <w:p>
      <w:pPr>
        <w:pStyle w:val="FirstParagraph"/>
      </w:pPr>
      <w:r>
        <w:t xml:space="preserve">Redesign when the responsibility or operating contract is wrong, even if some underlying capability remains useful.</w:t>
      </w:r>
    </w:p>
    <w:p>
      <w:pPr>
        <w:pStyle w:val="BodyText"/>
      </w:pPr>
      <w:r>
        <w:t xml:space="preserve">A worker may be able to execute tasks well while carrying a responsibility that is too broad, poorly owned, unmeasurable, or dependent on a handoff the organization cannot yet sustain. In that case, adding more instructions or changing models may treat the symptom while preserving the category error.</w:t>
      </w:r>
    </w:p>
    <w:p>
      <w:pPr>
        <w:pStyle w:val="BodyText"/>
      </w:pPr>
      <w:r>
        <w:t xml:space="preserve">Redesign asks a deeper question: should the responsibility be decomposed, assigned to another operating unit, turned back into a supervised tool, or bounded differently?</w:t>
      </w:r>
    </w:p>
    <w:bookmarkEnd w:id="145"/>
    <w:bookmarkStart w:id="146" w:name="retire-or-supersede"/>
    <w:p>
      <w:pPr>
        <w:pStyle w:val="Heading3"/>
      </w:pPr>
      <w:r>
        <w:t xml:space="preserve">Retire or supersede</w:t>
      </w:r>
    </w:p>
    <w:p>
      <w:pPr>
        <w:pStyle w:val="FirstParagraph"/>
      </w:pPr>
      <w:r>
        <w:t xml:space="preserve">Retire a worker when the responsibility no longer belongs to it. Supersede it when another named worker or operating arrangement will carry the responsibility instead.</w:t>
      </w:r>
    </w:p>
    <w:p>
      <w:pPr>
        <w:pStyle w:val="BodyText"/>
      </w:pPr>
      <w:r>
        <w:t xml:space="preserve">Neither decision should mean deletion by default. Identity, evidence, decisions, and relevant work products may need to remain available for audit, recovery, or future judgment. Execution should be disabled through the relevant owner path, outstanding handoffs should be resolved or explicitly dispositioned, and the record should show what changed.</w:t>
      </w:r>
    </w:p>
    <w:p>
      <w:pPr>
        <w:pStyle w:val="BodyText"/>
      </w:pPr>
      <w:r>
        <w:t xml:space="preserve">The local estate contains examples of projects being parked, retired, superseded, or reopened without deleting their evidence. As a practitioner hypothesis, its transfer is untested, but it establishes a practical point: a portfolio needs more choices than active or inactive.</w:t>
      </w:r>
    </w:p>
    <w:bookmarkEnd w:id="146"/>
    <w:bookmarkStart w:id="147" w:name="refuse-to-commission"/>
    <w:p>
      <w:pPr>
        <w:pStyle w:val="Heading3"/>
      </w:pPr>
      <w:r>
        <w:t xml:space="preserve">Refuse to commission</w:t>
      </w:r>
    </w:p>
    <w:p>
      <w:pPr>
        <w:pStyle w:val="FirstParagraph"/>
      </w:pPr>
      <w:r>
        <w:t xml:space="preserve">Refuse the commission when the proposal lacks a named responsibility, accountable owner, bounded authority, sufficient evidence, or a stop path.</w:t>
      </w:r>
    </w:p>
    <w:p>
      <w:pPr>
        <w:pStyle w:val="BodyText"/>
      </w:pPr>
      <w:r>
        <w:t xml:space="preserve">Refusal is not the absence of a decision. It is a decision that protects the organization from treating capability as permission.</w:t>
      </w:r>
    </w:p>
    <w:p>
      <w:pPr>
        <w:pStyle w:val="BodyText"/>
      </w:pPr>
      <w:r>
        <w:t xml:space="preserve">A local OMP pilot was rejected after measured acceptance results did not justify continuation, and the reversal evidence was preserved. While its enterprise transfer is untested, it shows why a sponsor should treat refusal as part of a functioning operating model rather than as an embarrassment to be edited out of the story.</w:t>
      </w:r>
    </w:p>
    <w:bookmarkEnd w:id="147"/>
    <w:bookmarkEnd w:id="148"/>
    <w:bookmarkStart w:id="149" w:name="run-the-review-in-the-right-order"/>
    <w:p>
      <w:pPr>
        <w:pStyle w:val="Heading2"/>
      </w:pPr>
      <w:r>
        <w:t xml:space="preserve">Run the review in the right order</w:t>
      </w:r>
    </w:p>
    <w:p>
      <w:pPr>
        <w:pStyle w:val="FirstParagraph"/>
      </w:pPr>
      <w:r>
        <w:t xml:space="preserve">The sponsor can keep the meeting disciplined by moving through the page in sequence.</w:t>
      </w:r>
    </w:p>
    <w:p>
      <w:pPr>
        <w:pStyle w:val="BodyText"/>
      </w:pPr>
      <w:r>
        <w:t xml:space="preserve">First, confirm the worker and responsibility. If those are unclear, return the proposal before debating implementation details.</w:t>
      </w:r>
    </w:p>
    <w:p>
      <w:pPr>
        <w:pStyle w:val="BodyText"/>
      </w:pPr>
      <w:r>
        <w:t xml:space="preserve">Second, confirm the accountable owner and the authorities required for the stated scope. If the organization cannot name who is answerable or what approvals remain human, it has not reached a commission decision.</w:t>
      </w:r>
    </w:p>
    <w:p>
      <w:pPr>
        <w:pStyle w:val="BodyText"/>
      </w:pPr>
      <w:r>
        <w:t xml:space="preserve">Third, inspect the evidence and its limits. Ask what was observed, what is inferred, what is stale, and what remains unknown. Require the producer of the proposal to show the path back to the relevant owner records rather than merely restating conclusions.</w:t>
      </w:r>
    </w:p>
    <w:p>
      <w:pPr>
        <w:pStyle w:val="BodyText"/>
      </w:pPr>
      <w:r>
        <w:t xml:space="preserve">Fourth, inspect lifecycle, execution policy, and handoffs. A commissioned identity, a running process, a scheduled job, and a current portfolio disposition are not interchangeable. The review should say which has changed and which has not.</w:t>
      </w:r>
    </w:p>
    <w:p>
      <w:pPr>
        <w:pStyle w:val="BodyText"/>
      </w:pPr>
      <w:r>
        <w:t xml:space="preserve">Fifth, choose one disposition and record the conditions.</w:t>
      </w:r>
      <w:r>
        <w:t xml:space="preserve"> </w:t>
      </w:r>
      <w:r>
        <w:t xml:space="preserve">“</w:t>
      </w:r>
      <w:r>
        <w:t xml:space="preserve">Proceed carefully</w:t>
      </w:r>
      <w:r>
        <w:t xml:space="preserve">”</w:t>
      </w:r>
      <w:r>
        <w:t xml:space="preserve"> </w:t>
      </w:r>
      <w:r>
        <w:t xml:space="preserve">is not a disposition.</w:t>
      </w:r>
      <w:r>
        <w:t xml:space="preserve"> </w:t>
      </w:r>
      <w:r>
        <w:t xml:space="preserve">“</w:t>
      </w:r>
      <w:r>
        <w:t xml:space="preserve">Constrain execution to supervised use pending source-owner approval, then return with an acknowledged handoff and a current evidence check</w:t>
      </w:r>
      <w:r>
        <w:t xml:space="preserve">”</w:t>
      </w:r>
      <w:r>
        <w:t xml:space="preserve"> </w:t>
      </w:r>
      <w:r>
        <w:t xml:space="preserve">is.</w:t>
      </w:r>
    </w:p>
    <w:p>
      <w:pPr>
        <w:pStyle w:val="BodyText"/>
      </w:pPr>
      <w:r>
        <w:t xml:space="preserve">The last sentence should always answer: what happens next, who owns it, and what evidence will be reviewed before the next consequential change?</w:t>
      </w:r>
    </w:p>
    <w:bookmarkEnd w:id="149"/>
    <w:bookmarkStart w:id="150" w:name="X69045d2f7410755c23b4a53d86b7019bf97fbe4"/>
    <w:p>
      <w:pPr>
        <w:pStyle w:val="Heading2"/>
      </w:pPr>
      <w:r>
        <w:t xml:space="preserve">Do not outsource judgment to the portfolio view</w:t>
      </w:r>
    </w:p>
    <w:p>
      <w:pPr>
        <w:pStyle w:val="FirstParagraph"/>
      </w:pPr>
      <w:r>
        <w:t xml:space="preserve">A portfolio view can help a sponsor see patterns: repeated missing owners, recurring handoff failures, workers that consume disproportionate attention, or projects that have stayed paused without a clear next decision.</w:t>
      </w:r>
    </w:p>
    <w:p>
      <w:pPr>
        <w:pStyle w:val="BodyText"/>
      </w:pPr>
      <w:r>
        <w:t xml:space="preserve">It should not turn distinct workers into a single autonomy score, a headcount equivalent, or a claim about the organization’s inevitable destination.</w:t>
      </w:r>
    </w:p>
    <w:p>
      <w:pPr>
        <w:pStyle w:val="BodyText"/>
      </w:pPr>
      <w:r>
        <w:t xml:space="preserve">Capacity belongs in the record because the sponsor may need to constrain cadence, revise execution policy, or refuse a scope that cannot be operated responsibly. The question of where AI-created capacity should be reinvested belongs elsewhere. This review is narrower: should this named worker continue to carry this responsibility under these conditions?</w:t>
      </w:r>
    </w:p>
    <w:p>
      <w:pPr>
        <w:pStyle w:val="BodyText"/>
      </w:pPr>
      <w:r>
        <w:t xml:space="preserve">That boundary protects the sponsor from two kinds of distraction. It avoids mistaking a portfolio count for a governance decision, and it avoids treating growth allocation as a substitute for accountable commissioning.</w:t>
      </w:r>
    </w:p>
    <w:bookmarkEnd w:id="150"/>
    <w:bookmarkStart w:id="151" w:name="X6541a01c002e2b6e3112db01219f6f475d2462b"/>
    <w:p>
      <w:pPr>
        <w:pStyle w:val="Heading2"/>
      </w:pPr>
      <w:r>
        <w:t xml:space="preserve">The test is whether the decision remains inspectable</w:t>
      </w:r>
    </w:p>
    <w:p>
      <w:pPr>
        <w:pStyle w:val="FirstParagraph"/>
      </w:pPr>
      <w:r>
        <w:t xml:space="preserve">This chapter offers a practitioner-grounded operating hypothesis: a sponsor can make better digital-workforce decisions by reviewing one named worker and one bounded ongoing responsibility through explicit owner, authority, evidence, lifecycle, handoff, evaluation, and stop-path fields.</w:t>
      </w:r>
    </w:p>
    <w:p>
      <w:pPr>
        <w:pStyle w:val="BodyText"/>
      </w:pPr>
      <w:r>
        <w:t xml:space="preserve">The local cases support the usefulness of reversals, scoped authority, preserved evidence, separate lifecycle dispositions, and human reconciliation of consequential decisions, even if their transfer to the enterprise remains untested.</w:t>
      </w:r>
    </w:p>
    <w:p>
      <w:pPr>
        <w:pStyle w:val="BodyText"/>
      </w:pPr>
      <w:r>
        <w:t xml:space="preserve">Try the one-page review on a worker already in your organization. Do not begin by asking how advanced it is. Ask whether the page can name the responsibility, owner, authority, evidence, current disposition, and stop path without filling the gaps with confidence.</w:t>
      </w:r>
    </w:p>
    <w:p>
      <w:pPr>
        <w:pStyle w:val="BodyText"/>
      </w:pPr>
      <w:r>
        <w:t xml:space="preserve">If it cannot, the next decision is already visible.</w:t>
      </w:r>
    </w:p>
    <w:bookmarkEnd w:id="151"/>
    <w:bookmarkStart w:id="152" w:name="sources-and-evidence-notes-8"/>
    <w:p>
      <w:pPr>
        <w:pStyle w:val="Heading2"/>
      </w:pPr>
      <w:r>
        <w:t xml:space="preserve">Sources and evidence notes</w:t>
      </w:r>
    </w:p>
    <w:p>
      <w:pPr>
        <w:numPr>
          <w:ilvl w:val="0"/>
          <w:numId w:val="1034"/>
        </w:numPr>
      </w:pPr>
      <w:r>
        <w:rPr>
          <w:i/>
          <w:iCs/>
        </w:rPr>
        <w:t xml:space="preserve">The book’s internal planning repository</w:t>
      </w:r>
      <w:r>
        <w:t xml:space="preserve"> </w:t>
      </w:r>
      <w:r>
        <w:t xml:space="preserve">— Chapter 9 job, reader question, required one-page review artifact, exclusions, and 3,200–4,000-word target.</w:t>
      </w:r>
    </w:p>
    <w:p>
      <w:pPr>
        <w:numPr>
          <w:ilvl w:val="0"/>
          <w:numId w:val="1034"/>
        </w:numPr>
      </w:pPr>
      <w:r>
        <w:rPr>
          <w:i/>
          <w:iCs/>
        </w:rPr>
        <w:t xml:space="preserve">The book’s internal planning repository</w:t>
      </w:r>
      <w:r>
        <w:t xml:space="preserve"> </w:t>
      </w:r>
      <w:r>
        <w:t xml:space="preserve">— Chapter 9 promise: the reader can run a sponsor review using a one-page proposal, evidence limits, and a reversible disposition.</w:t>
      </w:r>
    </w:p>
    <w:p>
      <w:pPr>
        <w:numPr>
          <w:ilvl w:val="0"/>
          <w:numId w:val="1034"/>
        </w:numPr>
      </w:pPr>
      <w:r>
        <w:rPr>
          <w:i/>
          <w:iCs/>
        </w:rPr>
        <w:t xml:space="preserve">The book’s internal planning repository</w:t>
      </w:r>
      <w:r>
        <w:t xml:space="preserve"> </w:t>
      </w:r>
      <w:r>
        <w:t xml:space="preserve">— evidence-language, source, attribution, and draft-output constraints.</w:t>
      </w:r>
    </w:p>
    <w:p>
      <w:pPr>
        <w:numPr>
          <w:ilvl w:val="0"/>
          <w:numId w:val="1034"/>
        </w:numPr>
      </w:pPr>
      <w:r>
        <w:rPr>
          <w:i/>
          <w:iCs/>
        </w:rPr>
        <w:t xml:space="preserve">The book’s internal planning repository</w:t>
      </w:r>
      <w:r>
        <w:t xml:space="preserve"> </w:t>
      </w:r>
      <w:r>
        <w:t xml:space="preserve">— approved primary reader, governing question, commissioning definition, human-accountability boundary, evidence ceiling, and three-book exclusions.</w:t>
      </w:r>
    </w:p>
    <w:p>
      <w:pPr>
        <w:numPr>
          <w:ilvl w:val="0"/>
          <w:numId w:val="1034"/>
        </w:numPr>
      </w:pPr>
      <w:r>
        <w:rPr>
          <w:i/>
          <w:iCs/>
        </w:rPr>
        <w:t xml:space="preserve">The book’s internal planning repository</w:t>
      </w:r>
      <w:r>
        <w:t xml:space="preserve"> </w:t>
      </w:r>
      <w:r>
        <w:t xml:space="preserve">— the distinction between capability and commissioning, the required decision dimensions, and the intended sponsor dispositions.</w:t>
      </w:r>
    </w:p>
    <w:p>
      <w:pPr>
        <w:numPr>
          <w:ilvl w:val="0"/>
          <w:numId w:val="1034"/>
        </w:numPr>
      </w:pPr>
      <w:r>
        <w:rPr>
          <w:i/>
          <w:iCs/>
        </w:rPr>
        <w:t xml:space="preserve">The book’s internal planning repository</w:t>
      </w:r>
      <w:r>
        <w:t xml:space="preserve"> </w:t>
      </w:r>
      <w:r>
        <w:t xml:space="preserve">— approved governing question and the boundary against agent-team construction, autonomy-practice retelling, growth-capacity allocation, graph-first doctrine, and maturity ladders.</w:t>
      </w:r>
    </w:p>
    <w:p>
      <w:pPr>
        <w:numPr>
          <w:ilvl w:val="0"/>
          <w:numId w:val="1034"/>
        </w:numPr>
      </w:pPr>
      <w:r>
        <w:rPr>
          <w:i/>
          <w:iCs/>
        </w:rPr>
        <w:t xml:space="preserve">The book’s internal planning repository</w:t>
      </w:r>
      <w:r>
        <w:t xml:space="preserve"> </w:t>
      </w:r>
      <w:r>
        <w:t xml:space="preserve">— sponsor accountability surface, trust requirements, and reader-facing failure conditions.</w:t>
      </w:r>
    </w:p>
    <w:p>
      <w:pPr>
        <w:numPr>
          <w:ilvl w:val="0"/>
          <w:numId w:val="1034"/>
        </w:numPr>
      </w:pPr>
      <w:r>
        <w:rPr>
          <w:i/>
          <w:iCs/>
        </w:rPr>
        <w:t xml:space="preserve">The book’s internal pre-draft specifications</w:t>
      </w:r>
      <w:r>
        <w:t xml:space="preserve"> </w:t>
      </w:r>
      <w:r>
        <w:t xml:space="preserve">— seven evaluation dimensions and the proposed dispositions of continue, constrain, pause, redesign, retire/supersede, and refuse.</w:t>
      </w:r>
    </w:p>
    <w:p>
      <w:pPr>
        <w:numPr>
          <w:ilvl w:val="0"/>
          <w:numId w:val="1034"/>
        </w:numPr>
      </w:pPr>
      <w:r>
        <w:rPr>
          <w:i/>
          <w:iCs/>
        </w:rPr>
        <w:t xml:space="preserve">The book’s internal pre-draft specifications</w:t>
      </w:r>
      <w:r>
        <w:t xml:space="preserve"> </w:t>
      </w:r>
      <w:r>
        <w:t xml:space="preserve">— evidence limits on commissioning, authority, evidence, lifecycle, owner truth, capacity, and transfer from local cases.</w:t>
      </w:r>
    </w:p>
    <w:p>
      <w:pPr>
        <w:numPr>
          <w:ilvl w:val="0"/>
          <w:numId w:val="1034"/>
        </w:numPr>
      </w:pPr>
      <w:r>
        <w:rPr>
          <w:i/>
          <w:iCs/>
        </w:rPr>
        <w:t xml:space="preserve">The book’s internal pre-draft specifications</w:t>
      </w:r>
      <w:r>
        <w:t xml:space="preserve"> </w:t>
      </w:r>
      <w:r>
        <w:t xml:space="preserve">— unresolved enterprise-transfer, terminology, lifecycle-implementation, graph-first, growth-allocation, and adjacent-book risks.</w:t>
      </w:r>
    </w:p>
    <w:p>
      <w:pPr>
        <w:numPr>
          <w:ilvl w:val="0"/>
          <w:numId w:val="1034"/>
        </w:numPr>
      </w:pPr>
      <w:r>
        <w:rPr>
          <w:i/>
          <w:iCs/>
        </w:rPr>
        <w:t xml:space="preserve">The book’s internal research ledger</w:t>
      </w:r>
      <w:r>
        <w:t xml:space="preserve"> </w:t>
      </w:r>
      <w:r>
        <w:t xml:space="preserve">— local evidence for authority/release-path separation, pilot rejection, route reversal, lifecycle distinctions, reconciliation, and preserved portfolio dispositions.</w:t>
      </w:r>
    </w:p>
    <w:p>
      <w:pPr>
        <w:numPr>
          <w:ilvl w:val="0"/>
          <w:numId w:val="1034"/>
        </w:numPr>
      </w:pPr>
      <w:r>
        <w:rPr>
          <w:i/>
          <w:iCs/>
        </w:rPr>
        <w:t xml:space="preserve">The book’s internal research ledger</w:t>
      </w:r>
      <w:r>
        <w:t xml:space="preserve"> </w:t>
      </w:r>
      <w:r>
        <w:t xml:space="preserve">— mapping from commissioning, authority, evidence, lifecycle, handoffs, capacity, and human accountability to bounded estate evidence.</w:t>
      </w:r>
    </w:p>
    <w:p>
      <w:pPr>
        <w:numPr>
          <w:ilvl w:val="0"/>
          <w:numId w:val="1034"/>
        </w:numPr>
      </w:pPr>
      <w:r>
        <w:rPr>
          <w:i/>
          <w:iCs/>
        </w:rPr>
        <w:t xml:space="preserve">The book’s internal research ledger</w:t>
      </w:r>
      <w:r>
        <w:t xml:space="preserve"> </w:t>
      </w:r>
      <w:r>
        <w:t xml:space="preserve">— bounded cases used here: Outlook authority/release-path gap, OMP pilot rejection, route reversal under quota pressure, human decision reconciliation, and preserved lifecycle dispositions.</w:t>
      </w:r>
    </w:p>
    <w:p>
      <w:pPr>
        <w:numPr>
          <w:ilvl w:val="0"/>
          <w:numId w:val="1034"/>
        </w:numPr>
      </w:pPr>
      <w:r>
        <w:rPr>
          <w:i/>
          <w:iCs/>
        </w:rPr>
        <w:t xml:space="preserve">The book’s internal research ledger</w:t>
      </w:r>
      <w:r>
        <w:t xml:space="preserve"> </w:t>
      </w:r>
      <w:r>
        <w:t xml:space="preserve">— allowed wording and limits for capability versus commissioning, human accountability, evidence proportionality, authority, lifecycle dispositions, and terminology.</w:t>
      </w:r>
    </w:p>
    <w:p>
      <w:pPr>
        <w:numPr>
          <w:ilvl w:val="0"/>
          <w:numId w:val="1034"/>
        </w:numPr>
      </w:pPr>
      <w:r>
        <w:rPr>
          <w:i/>
          <w:iCs/>
        </w:rPr>
        <w:t xml:space="preserve">The book’s internal research ledger</w:t>
      </w:r>
      <w:r>
        <w:t xml:space="preserve"> </w:t>
      </w:r>
      <w:r>
        <w:t xml:space="preserve">— summary of what external research and Lee-estate evidence support, plus claims that must remain excluded.</w:t>
      </w:r>
    </w:p>
    <w:p>
      <w:pPr>
        <w:numPr>
          <w:ilvl w:val="0"/>
          <w:numId w:val="1034"/>
        </w:numPr>
      </w:pPr>
      <w:r>
        <w:rPr>
          <w:i/>
          <w:iCs/>
        </w:rPr>
        <w:t xml:space="preserve">The book’s internal research ledger</w:t>
      </w:r>
      <w:r>
        <w:t xml:space="preserve"> </w:t>
      </w:r>
      <w:r>
        <w:t xml:space="preserve">— scope limits for NIST AI RMF and ISO/IEC 42001, which support organization-level risk and management framing but do not define this chapter’s lifecycle or sponsor-review model.</w:t>
      </w:r>
    </w:p>
    <w:p>
      <w:pPr>
        <w:numPr>
          <w:ilvl w:val="0"/>
          <w:numId w:val="1034"/>
        </w:numPr>
      </w:pPr>
      <w:hyperlink r:id="rId65">
        <w:r>
          <w:rPr>
            <w:rStyle w:val="Hyperlink"/>
          </w:rPr>
          <w:t xml:space="preserve">NIST AI RMF Core</w:t>
        </w:r>
      </w:hyperlink>
      <w:r>
        <w:t xml:space="preserve"> </w:t>
      </w:r>
      <w:r>
        <w:t xml:space="preserve">— voluntary, outcome-oriented AI risk management functions; not an agent-specific commission or lifecycle mandate.</w:t>
      </w:r>
    </w:p>
    <w:p>
      <w:pPr>
        <w:numPr>
          <w:ilvl w:val="0"/>
          <w:numId w:val="1034"/>
        </w:numPr>
      </w:pPr>
      <w:hyperlink r:id="rId67">
        <w:r>
          <w:rPr>
            <w:rStyle w:val="Hyperlink"/>
          </w:rPr>
          <w:t xml:space="preserve">ISO/IEC 42001:2023 preview</w:t>
        </w:r>
      </w:hyperlink>
      <w:r>
        <w:t xml:space="preserve"> </w:t>
      </w:r>
      <w:r>
        <w:t xml:space="preserve">— organization-level AI management systems; not a digital-worker runtime or approval specification.</w:t>
      </w:r>
    </w:p>
    <w:p>
      <w:r>
        <w:pict>
          <v:rect style="width:0;height:1.5pt" o:hralign="center" o:hrstd="t" o:hr="t"/>
        </w:pict>
      </w:r>
    </w:p>
    <w:bookmarkEnd w:id="152"/>
    <w:bookmarkEnd w:id="1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5" Target="https://airc.nist.gov/airmf-resources/airmf/5-sec-core/" TargetMode="External" /><Relationship Type="http://schemas.openxmlformats.org/officeDocument/2006/relationships/hyperlink" Id="rId84" Target="https://arxiv.org/abs/2310.06770" TargetMode="External" /><Relationship Type="http://schemas.openxmlformats.org/officeDocument/2006/relationships/hyperlink" Id="rId86" Target="https://arxiv.org/abs/2311.12983" TargetMode="External" /><Relationship Type="http://schemas.openxmlformats.org/officeDocument/2006/relationships/hyperlink" Id="rId87" Target="https://arxiv.org/abs/2406.12045" TargetMode="External" /><Relationship Type="http://schemas.openxmlformats.org/officeDocument/2006/relationships/hyperlink" Id="rId89" Target="https://arxiv.org/abs/2601.20613" TargetMode="External" /><Relationship Type="http://schemas.openxmlformats.org/officeDocument/2006/relationships/hyperlink" Id="rId90" Target="https://arxiv.org/abs/2608.05013" TargetMode="External" /><Relationship Type="http://schemas.openxmlformats.org/officeDocument/2006/relationships/hyperlink" Id="rId102" Target="https://arxiv.org/abs/2608.14354" TargetMode="External" /><Relationship Type="http://schemas.openxmlformats.org/officeDocument/2006/relationships/hyperlink" Id="rId103" Target="https://arxiv.org/html/2608.14354v1" TargetMode="External" /><Relationship Type="http://schemas.openxmlformats.org/officeDocument/2006/relationships/hyperlink" Id="rId70" Target="https://csrc.nist.gov/pubs/sp/800/89/final" TargetMode="External" /><Relationship Type="http://schemas.openxmlformats.org/officeDocument/2006/relationships/hyperlink" Id="rId104" Target="https://docs.langchain.com/oss/python/langgraph/graph-api" TargetMode="External" /><Relationship Type="http://schemas.openxmlformats.org/officeDocument/2006/relationships/hyperlink" Id="rId105" Target="https://docs.langchain.com/oss/python/langgraph/use-time-travel" TargetMode="External" /><Relationship Type="http://schemas.openxmlformats.org/officeDocument/2006/relationships/hyperlink" Id="rId34" Target="https://doi.org/10.52088/ijesty.v6i2.1811" TargetMode="External" /><Relationship Type="http://schemas.openxmlformats.org/officeDocument/2006/relationships/hyperlink" Id="rId109" Target="https://github.com/google/adk-python" TargetMode="External" /><Relationship Type="http://schemas.openxmlformats.org/officeDocument/2006/relationships/hyperlink" Id="rId101" Target="https://github.com/openai/symphony/blob/main/SPEC.md" TargetMode="External" /><Relationship Type="http://schemas.openxmlformats.org/officeDocument/2006/relationships/hyperlink" Id="rId88" Target="https://github.com/sierra-research/tau-bench" TargetMode="External" /><Relationship Type="http://schemas.openxmlformats.org/officeDocument/2006/relationships/hyperlink" Id="rId35" Target="https://ijesty.org/index.php/ijesty/article/download/1811/702" TargetMode="External" /><Relationship Type="http://schemas.openxmlformats.org/officeDocument/2006/relationships/hyperlink" Id="rId106" Target="https://learn.microsoft.com/en-us/agent-framework/concepts/workflows/" TargetMode="External" /><Relationship Type="http://schemas.openxmlformats.org/officeDocument/2006/relationships/hyperlink" Id="rId107" Target="https://learn.microsoft.com/en-us/agent-framework/workflows/checkpoints" TargetMode="External" /><Relationship Type="http://schemas.openxmlformats.org/officeDocument/2006/relationships/hyperlink" Id="rId69" Target="https://nvlpubs.nist.gov/nistpubs/FIPS/NIST.FIPS.186-5.pdf" TargetMode="External" /><Relationship Type="http://schemas.openxmlformats.org/officeDocument/2006/relationships/hyperlink" Id="rId100" Target="https://openai.com/index/open-source-codex-orchestration-symphony/" TargetMode="External" /><Relationship Type="http://schemas.openxmlformats.org/officeDocument/2006/relationships/hyperlink" Id="rId108" Target="https://openai.github.io/openai-agents-python/multi_agent/" TargetMode="External" /><Relationship Type="http://schemas.openxmlformats.org/officeDocument/2006/relationships/hyperlink" Id="rId67" Target="https://webstore.ansi.org/preview-pages/ISO/preview_ISO%2BIEC%2B42001-2023.pdf" TargetMode="External" /><Relationship Type="http://schemas.openxmlformats.org/officeDocument/2006/relationships/hyperlink" Id="rId33" Target="https://www.deloitte.com/in/en/services/consulting/perspectives/ai-meets-efficiency.html" TargetMode="External" /><Relationship Type="http://schemas.openxmlformats.org/officeDocument/2006/relationships/hyperlink" Id="rId68" Target="https://www.jpmorganchase.com/about/technology/blog/securing-agentic-ai" TargetMode="External" /><Relationship Type="http://schemas.openxmlformats.org/officeDocument/2006/relationships/hyperlink" Id="rId66" Target="https://www.nist.gov/itl/ai-risk-management-framework" TargetMode="External" /><Relationship Type="http://schemas.openxmlformats.org/officeDocument/2006/relationships/hyperlink" Id="rId85" Target="https://www.swebench.com/original.html" TargetMode="External" /></Relationships>
</file>

<file path=word/_rels/footnotes.xml.rels><?xml version="1.0" encoding="UTF-8"?><Relationships xmlns="http://schemas.openxmlformats.org/package/2006/relationships"><Relationship Type="http://schemas.openxmlformats.org/officeDocument/2006/relationships/hyperlink" Id="rId65" Target="https://airc.nist.gov/airmf-resources/airmf/5-sec-core/" TargetMode="External" /><Relationship Type="http://schemas.openxmlformats.org/officeDocument/2006/relationships/hyperlink" Id="rId84" Target="https://arxiv.org/abs/2310.06770" TargetMode="External" /><Relationship Type="http://schemas.openxmlformats.org/officeDocument/2006/relationships/hyperlink" Id="rId86" Target="https://arxiv.org/abs/2311.12983" TargetMode="External" /><Relationship Type="http://schemas.openxmlformats.org/officeDocument/2006/relationships/hyperlink" Id="rId87" Target="https://arxiv.org/abs/2406.12045" TargetMode="External" /><Relationship Type="http://schemas.openxmlformats.org/officeDocument/2006/relationships/hyperlink" Id="rId89" Target="https://arxiv.org/abs/2601.20613" TargetMode="External" /><Relationship Type="http://schemas.openxmlformats.org/officeDocument/2006/relationships/hyperlink" Id="rId90" Target="https://arxiv.org/abs/2608.05013" TargetMode="External" /><Relationship Type="http://schemas.openxmlformats.org/officeDocument/2006/relationships/hyperlink" Id="rId102" Target="https://arxiv.org/abs/2608.14354" TargetMode="External" /><Relationship Type="http://schemas.openxmlformats.org/officeDocument/2006/relationships/hyperlink" Id="rId103" Target="https://arxiv.org/html/2608.14354v1" TargetMode="External" /><Relationship Type="http://schemas.openxmlformats.org/officeDocument/2006/relationships/hyperlink" Id="rId70" Target="https://csrc.nist.gov/pubs/sp/800/89/final" TargetMode="External" /><Relationship Type="http://schemas.openxmlformats.org/officeDocument/2006/relationships/hyperlink" Id="rId104" Target="https://docs.langchain.com/oss/python/langgraph/graph-api" TargetMode="External" /><Relationship Type="http://schemas.openxmlformats.org/officeDocument/2006/relationships/hyperlink" Id="rId105" Target="https://docs.langchain.com/oss/python/langgraph/use-time-travel" TargetMode="External" /><Relationship Type="http://schemas.openxmlformats.org/officeDocument/2006/relationships/hyperlink" Id="rId34" Target="https://doi.org/10.52088/ijesty.v6i2.1811" TargetMode="External" /><Relationship Type="http://schemas.openxmlformats.org/officeDocument/2006/relationships/hyperlink" Id="rId109" Target="https://github.com/google/adk-python" TargetMode="External" /><Relationship Type="http://schemas.openxmlformats.org/officeDocument/2006/relationships/hyperlink" Id="rId101" Target="https://github.com/openai/symphony/blob/main/SPEC.md" TargetMode="External" /><Relationship Type="http://schemas.openxmlformats.org/officeDocument/2006/relationships/hyperlink" Id="rId88" Target="https://github.com/sierra-research/tau-bench" TargetMode="External" /><Relationship Type="http://schemas.openxmlformats.org/officeDocument/2006/relationships/hyperlink" Id="rId35" Target="https://ijesty.org/index.php/ijesty/article/download/1811/702" TargetMode="External" /><Relationship Type="http://schemas.openxmlformats.org/officeDocument/2006/relationships/hyperlink" Id="rId106" Target="https://learn.microsoft.com/en-us/agent-framework/concepts/workflows/" TargetMode="External" /><Relationship Type="http://schemas.openxmlformats.org/officeDocument/2006/relationships/hyperlink" Id="rId107" Target="https://learn.microsoft.com/en-us/agent-framework/workflows/checkpoints" TargetMode="External" /><Relationship Type="http://schemas.openxmlformats.org/officeDocument/2006/relationships/hyperlink" Id="rId69" Target="https://nvlpubs.nist.gov/nistpubs/FIPS/NIST.FIPS.186-5.pdf" TargetMode="External" /><Relationship Type="http://schemas.openxmlformats.org/officeDocument/2006/relationships/hyperlink" Id="rId100" Target="https://openai.com/index/open-source-codex-orchestration-symphony/" TargetMode="External" /><Relationship Type="http://schemas.openxmlformats.org/officeDocument/2006/relationships/hyperlink" Id="rId108" Target="https://openai.github.io/openai-agents-python/multi_agent/" TargetMode="External" /><Relationship Type="http://schemas.openxmlformats.org/officeDocument/2006/relationships/hyperlink" Id="rId67" Target="https://webstore.ansi.org/preview-pages/ISO/preview_ISO%2BIEC%2B42001-2023.pdf" TargetMode="External" /><Relationship Type="http://schemas.openxmlformats.org/officeDocument/2006/relationships/hyperlink" Id="rId33" Target="https://www.deloitte.com/in/en/services/consulting/perspectives/ai-meets-efficiency.html" TargetMode="External" /><Relationship Type="http://schemas.openxmlformats.org/officeDocument/2006/relationships/hyperlink" Id="rId68" Target="https://www.jpmorganchase.com/about/technology/blog/securing-agentic-ai" TargetMode="External" /><Relationship Type="http://schemas.openxmlformats.org/officeDocument/2006/relationships/hyperlink" Id="rId66" Target="https://www.nist.gov/itl/ai-risk-management-framework" TargetMode="External" /><Relationship Type="http://schemas.openxmlformats.org/officeDocument/2006/relationships/hyperlink" Id="rId85" Target="https://www.swebench.com/original.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2026-08-30T03:43:08Z</dcterms:created>
  <dcterms:modified xsi:type="dcterms:W3CDTF">2026-08-30T03:43:08Z</dcterms:modified>
</cp:coreProperties>
</file>

<file path=docProps/custom.xml><?xml version="1.0" encoding="utf-8"?>
<Properties xmlns="http://schemas.openxmlformats.org/officeDocument/2006/custom-properties" xmlns:vt="http://schemas.openxmlformats.org/officeDocument/2006/docPropsVTypes"/>
</file>